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2B" w:rsidRPr="006650BE" w:rsidRDefault="00D12B2B" w:rsidP="00D721DD">
      <w:pPr>
        <w:jc w:val="center"/>
        <w:rPr>
          <w:rFonts w:ascii="Garamond" w:hAnsi="Garamond"/>
          <w:b/>
          <w:sz w:val="24"/>
          <w:szCs w:val="24"/>
        </w:rPr>
      </w:pPr>
      <w:r w:rsidRPr="006650BE">
        <w:rPr>
          <w:rFonts w:ascii="Garamond" w:hAnsi="Garamond"/>
          <w:b/>
          <w:sz w:val="24"/>
          <w:szCs w:val="24"/>
        </w:rPr>
        <w:t>College of Micronesia - FSM</w:t>
      </w:r>
    </w:p>
    <w:p w:rsidR="00D721DD" w:rsidRPr="006650BE" w:rsidRDefault="00D12B2B" w:rsidP="00D721DD">
      <w:pPr>
        <w:jc w:val="center"/>
        <w:rPr>
          <w:rFonts w:ascii="Garamond" w:hAnsi="Garamond"/>
          <w:b/>
          <w:sz w:val="24"/>
          <w:szCs w:val="24"/>
        </w:rPr>
      </w:pPr>
      <w:r w:rsidRPr="006650BE">
        <w:rPr>
          <w:rFonts w:ascii="Garamond" w:hAnsi="Garamond"/>
          <w:b/>
          <w:sz w:val="24"/>
          <w:szCs w:val="24"/>
        </w:rPr>
        <w:t>Academic Program Prioritization 2014</w:t>
      </w:r>
      <w:r w:rsidR="00D721DD" w:rsidRPr="006650BE">
        <w:rPr>
          <w:rFonts w:ascii="Garamond" w:hAnsi="Garamond"/>
          <w:b/>
          <w:sz w:val="24"/>
          <w:szCs w:val="24"/>
        </w:rPr>
        <w:t xml:space="preserve"> </w:t>
      </w:r>
    </w:p>
    <w:p w:rsidR="008E0B0A" w:rsidRPr="006650BE" w:rsidRDefault="00D721DD" w:rsidP="00D721DD">
      <w:pPr>
        <w:jc w:val="center"/>
        <w:rPr>
          <w:rFonts w:ascii="Garamond" w:hAnsi="Garamond"/>
          <w:b/>
          <w:sz w:val="24"/>
          <w:szCs w:val="24"/>
        </w:rPr>
      </w:pPr>
      <w:r w:rsidRPr="006650BE">
        <w:rPr>
          <w:rFonts w:ascii="Garamond" w:hAnsi="Garamond"/>
          <w:b/>
          <w:sz w:val="24"/>
          <w:szCs w:val="24"/>
        </w:rPr>
        <w:t>Report and Recommendations</w:t>
      </w:r>
    </w:p>
    <w:p w:rsidR="00D721DD" w:rsidRPr="006650BE" w:rsidRDefault="00D721DD" w:rsidP="00D721DD">
      <w:pPr>
        <w:jc w:val="center"/>
        <w:rPr>
          <w:rFonts w:ascii="Garamond" w:hAnsi="Garamond"/>
          <w:b/>
          <w:sz w:val="24"/>
          <w:szCs w:val="24"/>
        </w:rPr>
      </w:pPr>
      <w:r w:rsidRPr="006650BE">
        <w:rPr>
          <w:rFonts w:ascii="Garamond" w:hAnsi="Garamond"/>
          <w:b/>
          <w:sz w:val="24"/>
          <w:szCs w:val="24"/>
        </w:rPr>
        <w:t>August 2014</w:t>
      </w:r>
    </w:p>
    <w:p w:rsidR="00D12B2B" w:rsidRPr="006650BE" w:rsidRDefault="00D12B2B">
      <w:pPr>
        <w:rPr>
          <w:rFonts w:ascii="Garamond" w:hAnsi="Garamond"/>
          <w:b/>
          <w:sz w:val="24"/>
          <w:szCs w:val="24"/>
        </w:rPr>
      </w:pPr>
      <w:r w:rsidRPr="006650BE">
        <w:rPr>
          <w:rFonts w:ascii="Garamond" w:hAnsi="Garamond"/>
          <w:b/>
          <w:sz w:val="24"/>
          <w:szCs w:val="24"/>
        </w:rPr>
        <w:t>Overview:</w:t>
      </w:r>
    </w:p>
    <w:p w:rsidR="00682C8C" w:rsidRPr="006650BE" w:rsidRDefault="00682C8C" w:rsidP="00A26167">
      <w:pPr>
        <w:rPr>
          <w:rFonts w:ascii="Garamond" w:hAnsi="Garamond"/>
          <w:sz w:val="24"/>
          <w:szCs w:val="24"/>
        </w:rPr>
      </w:pPr>
      <w:r w:rsidRPr="006650BE">
        <w:rPr>
          <w:rFonts w:ascii="Garamond" w:hAnsi="Garamond"/>
          <w:sz w:val="24"/>
          <w:szCs w:val="24"/>
        </w:rPr>
        <w:t>This report addresses the 2</w:t>
      </w:r>
      <w:r w:rsidRPr="006650BE">
        <w:rPr>
          <w:rFonts w:ascii="Garamond" w:hAnsi="Garamond"/>
          <w:sz w:val="24"/>
          <w:szCs w:val="24"/>
          <w:vertAlign w:val="superscript"/>
        </w:rPr>
        <w:t>nd</w:t>
      </w:r>
      <w:r w:rsidRPr="006650BE">
        <w:rPr>
          <w:rFonts w:ascii="Garamond" w:hAnsi="Garamond"/>
          <w:sz w:val="24"/>
          <w:szCs w:val="24"/>
        </w:rPr>
        <w:t xml:space="preserve"> Round of Academic </w:t>
      </w:r>
      <w:r w:rsidR="00A26167" w:rsidRPr="006650BE">
        <w:rPr>
          <w:rFonts w:ascii="Garamond" w:hAnsi="Garamond"/>
          <w:sz w:val="24"/>
          <w:szCs w:val="24"/>
        </w:rPr>
        <w:t>Program</w:t>
      </w:r>
      <w:r w:rsidRPr="006650BE">
        <w:rPr>
          <w:rFonts w:ascii="Garamond" w:hAnsi="Garamond"/>
          <w:sz w:val="24"/>
          <w:szCs w:val="24"/>
        </w:rPr>
        <w:t xml:space="preserve"> Prioritization for the College of Micronesia – FSM.  The previous </w:t>
      </w:r>
      <w:r w:rsidR="00A26167" w:rsidRPr="006650BE">
        <w:rPr>
          <w:rFonts w:ascii="Garamond" w:hAnsi="Garamond"/>
          <w:sz w:val="24"/>
          <w:szCs w:val="24"/>
        </w:rPr>
        <w:t xml:space="preserve">academic </w:t>
      </w:r>
      <w:r w:rsidRPr="006650BE">
        <w:rPr>
          <w:rFonts w:ascii="Garamond" w:hAnsi="Garamond"/>
          <w:sz w:val="24"/>
          <w:szCs w:val="24"/>
        </w:rPr>
        <w:t xml:space="preserve">prioritization </w:t>
      </w:r>
      <w:r w:rsidR="00A26167" w:rsidRPr="006650BE">
        <w:rPr>
          <w:rFonts w:ascii="Garamond" w:hAnsi="Garamond"/>
          <w:sz w:val="24"/>
          <w:szCs w:val="24"/>
        </w:rPr>
        <w:t xml:space="preserve">was conducted in 2012. </w:t>
      </w:r>
    </w:p>
    <w:p w:rsidR="00A26167" w:rsidRPr="006650BE" w:rsidRDefault="00A26167" w:rsidP="003F46DC">
      <w:pPr>
        <w:tabs>
          <w:tab w:val="left" w:pos="720"/>
          <w:tab w:val="left" w:pos="1440"/>
        </w:tabs>
        <w:rPr>
          <w:rFonts w:ascii="Garamond" w:eastAsia="Times New Roman" w:hAnsi="Garamond" w:cs="Arial"/>
          <w:sz w:val="24"/>
          <w:szCs w:val="24"/>
        </w:rPr>
      </w:pPr>
      <w:r w:rsidRPr="006650BE">
        <w:rPr>
          <w:rFonts w:ascii="Garamond" w:hAnsi="Garamond"/>
          <w:sz w:val="24"/>
          <w:szCs w:val="24"/>
        </w:rPr>
        <w:t>The program assessment and program review process is describe</w:t>
      </w:r>
      <w:r w:rsidR="000D01FA">
        <w:rPr>
          <w:rFonts w:ascii="Garamond" w:hAnsi="Garamond"/>
          <w:sz w:val="24"/>
          <w:szCs w:val="24"/>
        </w:rPr>
        <w:t>d</w:t>
      </w:r>
      <w:r w:rsidRPr="006650BE">
        <w:rPr>
          <w:rFonts w:ascii="Garamond" w:hAnsi="Garamond"/>
          <w:sz w:val="24"/>
          <w:szCs w:val="24"/>
        </w:rPr>
        <w:t xml:space="preserve"> in the </w:t>
      </w:r>
      <w:r w:rsidRPr="006650BE">
        <w:rPr>
          <w:rFonts w:ascii="Garamond" w:eastAsia="Times New Roman" w:hAnsi="Garamond" w:cs="Arial"/>
          <w:sz w:val="24"/>
          <w:szCs w:val="24"/>
        </w:rPr>
        <w:t xml:space="preserve">Program Assessment and Program Review Procedures Manual for the college.  The manual calls for program assessment each year and program reviews to be conducted bi-annually.  </w:t>
      </w:r>
      <w:r w:rsidR="001C2AE8" w:rsidRPr="006650BE">
        <w:rPr>
          <w:rFonts w:ascii="Garamond" w:eastAsia="Times New Roman" w:hAnsi="Garamond" w:cs="Arial"/>
          <w:sz w:val="24"/>
          <w:szCs w:val="24"/>
        </w:rPr>
        <w:t>The manual provides the purpose of the program review as:</w:t>
      </w:r>
    </w:p>
    <w:p w:rsidR="001C2AE8" w:rsidRDefault="003F46DC" w:rsidP="003F46DC">
      <w:pPr>
        <w:tabs>
          <w:tab w:val="left" w:pos="720"/>
          <w:tab w:val="left" w:pos="1440"/>
          <w:tab w:val="left" w:pos="2490"/>
        </w:tabs>
        <w:ind w:left="1080"/>
        <w:rPr>
          <w:rFonts w:ascii="Garamond" w:eastAsia="Times New Roman" w:hAnsi="Garamond" w:cs="Arial"/>
          <w:sz w:val="24"/>
          <w:szCs w:val="24"/>
        </w:rPr>
      </w:pPr>
      <w:r>
        <w:rPr>
          <w:rFonts w:ascii="Garamond" w:eastAsia="Times New Roman" w:hAnsi="Garamond" w:cs="Arial"/>
          <w:sz w:val="24"/>
          <w:szCs w:val="24"/>
        </w:rPr>
        <w:t>Program review is a key element in the Western Association of Colleges and Schools (WASC) accreditation process.  According to Accrediting Commission for Community and Junior Colleges (ACJCC), the purposes of a program review are as follows:</w:t>
      </w:r>
    </w:p>
    <w:p w:rsidR="003F46DC" w:rsidRDefault="003F46DC" w:rsidP="003F46DC">
      <w:pPr>
        <w:pStyle w:val="ListParagraph"/>
        <w:numPr>
          <w:ilvl w:val="0"/>
          <w:numId w:val="31"/>
        </w:numPr>
        <w:tabs>
          <w:tab w:val="left" w:pos="720"/>
          <w:tab w:val="left" w:pos="2490"/>
        </w:tabs>
        <w:rPr>
          <w:rFonts w:ascii="Garamond" w:eastAsia="Times New Roman" w:hAnsi="Garamond" w:cs="Arial"/>
          <w:sz w:val="24"/>
          <w:szCs w:val="24"/>
        </w:rPr>
      </w:pPr>
      <w:r>
        <w:rPr>
          <w:rFonts w:ascii="Garamond" w:eastAsia="Times New Roman" w:hAnsi="Garamond" w:cs="Arial"/>
          <w:sz w:val="24"/>
          <w:szCs w:val="24"/>
        </w:rPr>
        <w:t>Construct an effective, integrated system of program review and planning and resource allocation.</w:t>
      </w:r>
    </w:p>
    <w:p w:rsidR="003F46DC" w:rsidRDefault="003F46DC" w:rsidP="003F46DC">
      <w:pPr>
        <w:pStyle w:val="ListParagraph"/>
        <w:numPr>
          <w:ilvl w:val="0"/>
          <w:numId w:val="31"/>
        </w:numPr>
        <w:tabs>
          <w:tab w:val="left" w:pos="720"/>
          <w:tab w:val="left" w:pos="2490"/>
        </w:tabs>
        <w:rPr>
          <w:rFonts w:ascii="Garamond" w:eastAsia="Times New Roman" w:hAnsi="Garamond" w:cs="Arial"/>
          <w:sz w:val="24"/>
          <w:szCs w:val="24"/>
        </w:rPr>
      </w:pPr>
      <w:r>
        <w:rPr>
          <w:rFonts w:ascii="Garamond" w:eastAsia="Times New Roman" w:hAnsi="Garamond" w:cs="Arial"/>
          <w:sz w:val="24"/>
          <w:szCs w:val="24"/>
        </w:rPr>
        <w:t>Enable the institution to continually assess its effectiveness.</w:t>
      </w:r>
    </w:p>
    <w:p w:rsidR="003F46DC" w:rsidRPr="003F46DC" w:rsidRDefault="003F46DC" w:rsidP="003F46DC">
      <w:pPr>
        <w:pStyle w:val="ListParagraph"/>
        <w:numPr>
          <w:ilvl w:val="0"/>
          <w:numId w:val="31"/>
        </w:numPr>
        <w:tabs>
          <w:tab w:val="left" w:pos="720"/>
          <w:tab w:val="left" w:pos="2490"/>
        </w:tabs>
        <w:rPr>
          <w:rFonts w:ascii="Garamond" w:eastAsia="Times New Roman" w:hAnsi="Garamond" w:cs="Arial"/>
          <w:sz w:val="24"/>
          <w:szCs w:val="24"/>
        </w:rPr>
      </w:pPr>
      <w:r>
        <w:rPr>
          <w:rFonts w:ascii="Garamond" w:eastAsia="Times New Roman" w:hAnsi="Garamond" w:cs="Arial"/>
          <w:sz w:val="24"/>
          <w:szCs w:val="24"/>
        </w:rPr>
        <w:t>Use results of this assessment to advance effectiveness and educational quality.</w:t>
      </w:r>
    </w:p>
    <w:p w:rsidR="009A3B1D" w:rsidRPr="006650BE" w:rsidRDefault="00F87128" w:rsidP="009A3B1D">
      <w:pPr>
        <w:tabs>
          <w:tab w:val="left" w:pos="2490"/>
        </w:tabs>
        <w:rPr>
          <w:rFonts w:ascii="Garamond" w:eastAsia="Times New Roman" w:hAnsi="Garamond" w:cs="Arial"/>
          <w:sz w:val="24"/>
          <w:szCs w:val="24"/>
        </w:rPr>
      </w:pPr>
      <w:r w:rsidRPr="006650BE">
        <w:rPr>
          <w:rFonts w:ascii="Garamond" w:eastAsia="Times New Roman" w:hAnsi="Garamond" w:cs="Arial"/>
          <w:sz w:val="24"/>
          <w:szCs w:val="24"/>
        </w:rPr>
        <w:t xml:space="preserve">The Academic Prioritization process is to build upon the program reviews and rate individual academic program.  The ratings are to assist the college in decision making </w:t>
      </w:r>
      <w:r w:rsidR="00BA3668" w:rsidRPr="006650BE">
        <w:rPr>
          <w:rFonts w:ascii="Garamond" w:eastAsia="Times New Roman" w:hAnsi="Garamond" w:cs="Arial"/>
          <w:sz w:val="24"/>
          <w:szCs w:val="24"/>
        </w:rPr>
        <w:t xml:space="preserve">in </w:t>
      </w:r>
      <w:r w:rsidRPr="006650BE">
        <w:rPr>
          <w:rFonts w:ascii="Garamond" w:eastAsia="Times New Roman" w:hAnsi="Garamond" w:cs="Arial"/>
          <w:sz w:val="24"/>
          <w:szCs w:val="24"/>
        </w:rPr>
        <w:t>what changes might occur in its program offerings</w:t>
      </w:r>
      <w:r w:rsidR="00BA3668" w:rsidRPr="006650BE">
        <w:rPr>
          <w:rFonts w:ascii="Garamond" w:eastAsia="Times New Roman" w:hAnsi="Garamond" w:cs="Arial"/>
          <w:sz w:val="24"/>
          <w:szCs w:val="24"/>
        </w:rPr>
        <w:t xml:space="preserve"> in light of changing needs of the nation and the financial condition of the college</w:t>
      </w:r>
      <w:r w:rsidRPr="006650BE">
        <w:rPr>
          <w:rFonts w:ascii="Garamond" w:eastAsia="Times New Roman" w:hAnsi="Garamond" w:cs="Arial"/>
          <w:sz w:val="24"/>
          <w:szCs w:val="24"/>
        </w:rPr>
        <w:t xml:space="preserve">. </w:t>
      </w:r>
    </w:p>
    <w:p w:rsidR="00D12B2B" w:rsidRPr="006650BE" w:rsidRDefault="00D12B2B">
      <w:pPr>
        <w:rPr>
          <w:rFonts w:ascii="Garamond" w:hAnsi="Garamond"/>
          <w:b/>
          <w:sz w:val="24"/>
          <w:szCs w:val="24"/>
        </w:rPr>
      </w:pPr>
      <w:r w:rsidRPr="006650BE">
        <w:rPr>
          <w:rFonts w:ascii="Garamond" w:hAnsi="Garamond"/>
          <w:b/>
          <w:sz w:val="24"/>
          <w:szCs w:val="24"/>
        </w:rPr>
        <w:t>Organization and prioritization process:</w:t>
      </w:r>
    </w:p>
    <w:p w:rsidR="00324A67" w:rsidRPr="006650BE" w:rsidRDefault="00324A67">
      <w:pPr>
        <w:rPr>
          <w:rFonts w:ascii="Garamond" w:hAnsi="Garamond"/>
          <w:sz w:val="24"/>
          <w:szCs w:val="24"/>
        </w:rPr>
      </w:pPr>
      <w:proofErr w:type="gramStart"/>
      <w:r w:rsidRPr="006650BE">
        <w:rPr>
          <w:rFonts w:ascii="Garamond" w:hAnsi="Garamond"/>
          <w:sz w:val="24"/>
          <w:szCs w:val="24"/>
        </w:rPr>
        <w:t>On February 25, 2014, President Joseph M. Daisy, President and CEO; confirmed nominations for the Academic Program Prioritization Working Group (APPWG</w:t>
      </w:r>
      <w:r w:rsidR="00AE23D7">
        <w:rPr>
          <w:rFonts w:ascii="Garamond" w:hAnsi="Garamond"/>
          <w:sz w:val="24"/>
          <w:szCs w:val="24"/>
        </w:rPr>
        <w:t xml:space="preserve">) (see appendix </w:t>
      </w:r>
      <w:r w:rsidR="00354A29">
        <w:rPr>
          <w:rFonts w:ascii="Garamond" w:hAnsi="Garamond"/>
          <w:sz w:val="24"/>
          <w:szCs w:val="24"/>
        </w:rPr>
        <w:t>C</w:t>
      </w:r>
      <w:r w:rsidR="00AE23D7">
        <w:rPr>
          <w:rFonts w:ascii="Garamond" w:hAnsi="Garamond"/>
          <w:sz w:val="24"/>
          <w:szCs w:val="24"/>
        </w:rPr>
        <w:t>).</w:t>
      </w:r>
      <w:proofErr w:type="gramEnd"/>
      <w:r w:rsidR="00AE23D7">
        <w:rPr>
          <w:rFonts w:ascii="Garamond" w:hAnsi="Garamond"/>
          <w:sz w:val="24"/>
          <w:szCs w:val="24"/>
        </w:rPr>
        <w:t xml:space="preserve">  The APPWG wa</w:t>
      </w:r>
      <w:r w:rsidRPr="006650BE">
        <w:rPr>
          <w:rFonts w:ascii="Garamond" w:hAnsi="Garamond"/>
          <w:sz w:val="24"/>
          <w:szCs w:val="24"/>
        </w:rPr>
        <w:t xml:space="preserve">s composed of 16 members from the Department of Instructional Affairs, Administrative Services, Student Services and Institutional Effectiveness and Quality Assurance.  The APPWG conducted a series of meetings over the spring semester 2014 to review the process from the 2012 Academic Program Prioritization and make modification as needed.  The modifications were based on reviews of recommendations form the 2012 Academic Program Prioritization and also internal discussions within the APPWG.  </w:t>
      </w:r>
    </w:p>
    <w:p w:rsidR="00D12B2B" w:rsidRPr="006650BE" w:rsidRDefault="00D12B2B" w:rsidP="00A24059">
      <w:pPr>
        <w:rPr>
          <w:rFonts w:ascii="Garamond" w:hAnsi="Garamond"/>
          <w:b/>
          <w:sz w:val="24"/>
          <w:szCs w:val="24"/>
        </w:rPr>
      </w:pPr>
      <w:r w:rsidRPr="006650BE">
        <w:rPr>
          <w:rFonts w:ascii="Garamond" w:hAnsi="Garamond"/>
          <w:b/>
          <w:sz w:val="24"/>
          <w:szCs w:val="24"/>
        </w:rPr>
        <w:t>Issues and discussion</w:t>
      </w:r>
    </w:p>
    <w:p w:rsidR="00D12B2B" w:rsidRDefault="00D12B2B" w:rsidP="00A24059">
      <w:pPr>
        <w:rPr>
          <w:rFonts w:ascii="Garamond" w:hAnsi="Garamond"/>
          <w:b/>
          <w:i/>
          <w:sz w:val="24"/>
          <w:szCs w:val="24"/>
        </w:rPr>
      </w:pPr>
      <w:r w:rsidRPr="006650BE">
        <w:rPr>
          <w:rFonts w:ascii="Garamond" w:hAnsi="Garamond"/>
          <w:b/>
          <w:i/>
          <w:sz w:val="24"/>
          <w:szCs w:val="24"/>
        </w:rPr>
        <w:t>Process decisions</w:t>
      </w:r>
    </w:p>
    <w:p w:rsidR="006650BE" w:rsidRDefault="00C316C4" w:rsidP="00A24059">
      <w:pPr>
        <w:rPr>
          <w:rFonts w:ascii="Garamond" w:hAnsi="Garamond"/>
          <w:sz w:val="24"/>
          <w:szCs w:val="24"/>
        </w:rPr>
      </w:pPr>
      <w:r>
        <w:rPr>
          <w:rFonts w:ascii="Garamond" w:hAnsi="Garamond"/>
          <w:sz w:val="24"/>
          <w:szCs w:val="24"/>
        </w:rPr>
        <w:t>Process discussions were centered on data and documents, timelines, criteria and the review process itself.  Critical recommendations were:</w:t>
      </w:r>
    </w:p>
    <w:p w:rsidR="000E44CC" w:rsidRDefault="000E44CC" w:rsidP="00A24059">
      <w:pPr>
        <w:rPr>
          <w:rFonts w:ascii="Garamond" w:hAnsi="Garamond"/>
          <w:sz w:val="24"/>
          <w:szCs w:val="24"/>
        </w:rPr>
      </w:pPr>
    </w:p>
    <w:p w:rsidR="00C316C4" w:rsidRDefault="00C316C4" w:rsidP="00C316C4">
      <w:pPr>
        <w:pStyle w:val="ListParagraph"/>
        <w:numPr>
          <w:ilvl w:val="0"/>
          <w:numId w:val="8"/>
        </w:numPr>
        <w:rPr>
          <w:rFonts w:ascii="Garamond" w:hAnsi="Garamond"/>
          <w:b/>
          <w:sz w:val="24"/>
          <w:szCs w:val="24"/>
        </w:rPr>
      </w:pPr>
      <w:r w:rsidRPr="006B458A">
        <w:rPr>
          <w:rFonts w:ascii="Garamond" w:hAnsi="Garamond"/>
          <w:b/>
          <w:sz w:val="24"/>
          <w:szCs w:val="24"/>
        </w:rPr>
        <w:lastRenderedPageBreak/>
        <w:t>Criteria</w:t>
      </w:r>
    </w:p>
    <w:p w:rsidR="00A0646A" w:rsidRPr="00A0646A" w:rsidRDefault="00A0646A" w:rsidP="00A0646A">
      <w:pPr>
        <w:spacing w:after="0" w:line="240" w:lineRule="auto"/>
        <w:ind w:left="360"/>
        <w:rPr>
          <w:rFonts w:ascii="Garamond" w:hAnsi="Garamond"/>
          <w:b/>
          <w:sz w:val="24"/>
          <w:szCs w:val="24"/>
        </w:rPr>
      </w:pPr>
    </w:p>
    <w:p w:rsidR="00C316C4" w:rsidRDefault="00C316C4" w:rsidP="00C316C4">
      <w:pPr>
        <w:pStyle w:val="ListParagraph"/>
        <w:numPr>
          <w:ilvl w:val="1"/>
          <w:numId w:val="8"/>
        </w:numPr>
        <w:rPr>
          <w:rFonts w:ascii="Garamond" w:hAnsi="Garamond"/>
          <w:sz w:val="24"/>
          <w:szCs w:val="24"/>
        </w:rPr>
      </w:pPr>
      <w:r>
        <w:rPr>
          <w:rFonts w:ascii="Garamond" w:hAnsi="Garamond"/>
          <w:sz w:val="24"/>
          <w:szCs w:val="24"/>
        </w:rPr>
        <w:t>Use the same ten criteria</w:t>
      </w:r>
      <w:r w:rsidR="000A62A5">
        <w:rPr>
          <w:rFonts w:ascii="Garamond" w:hAnsi="Garamond"/>
          <w:sz w:val="24"/>
          <w:szCs w:val="24"/>
        </w:rPr>
        <w:t xml:space="preserve"> (see appendix</w:t>
      </w:r>
      <w:r w:rsidR="00E9172F">
        <w:rPr>
          <w:rFonts w:ascii="Garamond" w:hAnsi="Garamond"/>
          <w:sz w:val="24"/>
          <w:szCs w:val="24"/>
        </w:rPr>
        <w:t xml:space="preserve"> “A”</w:t>
      </w:r>
      <w:r w:rsidR="000A62A5">
        <w:rPr>
          <w:rFonts w:ascii="Garamond" w:hAnsi="Garamond"/>
          <w:sz w:val="24"/>
          <w:szCs w:val="24"/>
        </w:rPr>
        <w:t xml:space="preserve"> </w:t>
      </w:r>
      <w:r w:rsidR="00143193">
        <w:rPr>
          <w:rFonts w:ascii="Garamond" w:hAnsi="Garamond"/>
          <w:sz w:val="24"/>
          <w:szCs w:val="24"/>
        </w:rPr>
        <w:t>for the major criteria as well as the rubrics for generating scores)</w:t>
      </w:r>
      <w:r>
        <w:rPr>
          <w:rFonts w:ascii="Garamond" w:hAnsi="Garamond"/>
          <w:sz w:val="24"/>
          <w:szCs w:val="24"/>
        </w:rPr>
        <w:t xml:space="preserve"> from the 2012 Academic Prioritization based on Robert </w:t>
      </w:r>
      <w:proofErr w:type="spellStart"/>
      <w:r>
        <w:rPr>
          <w:rFonts w:ascii="Garamond" w:hAnsi="Garamond"/>
          <w:sz w:val="24"/>
          <w:szCs w:val="24"/>
        </w:rPr>
        <w:t>Dickeson’s</w:t>
      </w:r>
      <w:proofErr w:type="spellEnd"/>
      <w:r>
        <w:rPr>
          <w:rFonts w:ascii="Garamond" w:hAnsi="Garamond"/>
          <w:sz w:val="24"/>
          <w:szCs w:val="24"/>
        </w:rPr>
        <w:t xml:space="preserve"> book </w:t>
      </w:r>
      <w:r w:rsidRPr="00C316C4">
        <w:rPr>
          <w:rFonts w:ascii="Garamond" w:hAnsi="Garamond"/>
          <w:sz w:val="24"/>
          <w:szCs w:val="24"/>
        </w:rPr>
        <w:t>Prioritizing Academic Programs</w:t>
      </w:r>
      <w:r>
        <w:rPr>
          <w:rFonts w:ascii="Garamond" w:hAnsi="Garamond"/>
          <w:sz w:val="24"/>
          <w:szCs w:val="24"/>
        </w:rPr>
        <w:t xml:space="preserve">. </w:t>
      </w:r>
    </w:p>
    <w:p w:rsidR="00C316C4" w:rsidRDefault="00C316C4" w:rsidP="000E77AF">
      <w:pPr>
        <w:pStyle w:val="ListParagraph"/>
        <w:numPr>
          <w:ilvl w:val="1"/>
          <w:numId w:val="8"/>
        </w:numPr>
        <w:rPr>
          <w:rFonts w:ascii="Garamond" w:hAnsi="Garamond"/>
          <w:sz w:val="24"/>
          <w:szCs w:val="24"/>
        </w:rPr>
      </w:pPr>
      <w:r w:rsidRPr="00C316C4">
        <w:rPr>
          <w:rFonts w:ascii="Garamond" w:hAnsi="Garamond"/>
          <w:sz w:val="24"/>
          <w:szCs w:val="24"/>
        </w:rPr>
        <w:t xml:space="preserve">Develop rubrics for each </w:t>
      </w:r>
      <w:proofErr w:type="gramStart"/>
      <w:r w:rsidRPr="00C316C4">
        <w:rPr>
          <w:rFonts w:ascii="Garamond" w:hAnsi="Garamond"/>
          <w:sz w:val="24"/>
          <w:szCs w:val="24"/>
        </w:rPr>
        <w:t>criteria</w:t>
      </w:r>
      <w:proofErr w:type="gramEnd"/>
      <w:r w:rsidRPr="00C316C4">
        <w:rPr>
          <w:rFonts w:ascii="Garamond" w:hAnsi="Garamond"/>
          <w:sz w:val="24"/>
          <w:szCs w:val="24"/>
        </w:rPr>
        <w:t xml:space="preserve"> to reduce subjective decisions on ratings for both qualitative and quantitative data. </w:t>
      </w:r>
    </w:p>
    <w:p w:rsidR="00C316C4" w:rsidRDefault="00C316C4" w:rsidP="000E77AF">
      <w:pPr>
        <w:pStyle w:val="ListParagraph"/>
        <w:numPr>
          <w:ilvl w:val="1"/>
          <w:numId w:val="8"/>
        </w:numPr>
        <w:rPr>
          <w:rFonts w:ascii="Garamond" w:hAnsi="Garamond"/>
          <w:sz w:val="24"/>
          <w:szCs w:val="24"/>
        </w:rPr>
      </w:pPr>
      <w:r>
        <w:rPr>
          <w:rFonts w:ascii="Garamond" w:hAnsi="Garamond"/>
          <w:sz w:val="24"/>
          <w:szCs w:val="24"/>
        </w:rPr>
        <w:t xml:space="preserve">Determine which of previous prioritization sub-criteria were relevant and data sources available.   </w:t>
      </w:r>
    </w:p>
    <w:p w:rsidR="005655E8" w:rsidRDefault="001262A0" w:rsidP="000E77AF">
      <w:pPr>
        <w:pStyle w:val="ListParagraph"/>
        <w:numPr>
          <w:ilvl w:val="1"/>
          <w:numId w:val="8"/>
        </w:numPr>
        <w:rPr>
          <w:rFonts w:ascii="Garamond" w:hAnsi="Garamond"/>
          <w:sz w:val="24"/>
          <w:szCs w:val="24"/>
        </w:rPr>
      </w:pPr>
      <w:r w:rsidRPr="005655E8">
        <w:rPr>
          <w:rFonts w:ascii="Garamond" w:hAnsi="Garamond"/>
          <w:sz w:val="24"/>
          <w:szCs w:val="24"/>
        </w:rPr>
        <w:t xml:space="preserve">Difference between Not Applicable (N/A) and no data.  Selected sub-criteria </w:t>
      </w:r>
      <w:r w:rsidR="00E9172F">
        <w:rPr>
          <w:rFonts w:ascii="Garamond" w:hAnsi="Garamond"/>
          <w:sz w:val="24"/>
          <w:szCs w:val="24"/>
        </w:rPr>
        <w:t>do</w:t>
      </w:r>
      <w:r w:rsidRPr="005655E8">
        <w:rPr>
          <w:rFonts w:ascii="Garamond" w:hAnsi="Garamond"/>
          <w:sz w:val="24"/>
          <w:szCs w:val="24"/>
        </w:rPr>
        <w:t xml:space="preserve"> not apply to all programs, but there </w:t>
      </w:r>
      <w:r w:rsidR="008E08C7">
        <w:rPr>
          <w:rFonts w:ascii="Garamond" w:hAnsi="Garamond"/>
          <w:sz w:val="24"/>
          <w:szCs w:val="24"/>
        </w:rPr>
        <w:t>were areas where sub-criteria were</w:t>
      </w:r>
      <w:r w:rsidRPr="005655E8">
        <w:rPr>
          <w:rFonts w:ascii="Garamond" w:hAnsi="Garamond"/>
          <w:sz w:val="24"/>
          <w:szCs w:val="24"/>
        </w:rPr>
        <w:t xml:space="preserve"> valid for a program, but for which no data was provided. </w:t>
      </w:r>
    </w:p>
    <w:p w:rsidR="00BD4CE1" w:rsidRPr="00BD4CE1" w:rsidRDefault="005655E8" w:rsidP="000E77AF">
      <w:pPr>
        <w:pStyle w:val="ListParagraph"/>
        <w:numPr>
          <w:ilvl w:val="1"/>
          <w:numId w:val="8"/>
        </w:numPr>
        <w:rPr>
          <w:rFonts w:ascii="Garamond" w:hAnsi="Garamond"/>
          <w:sz w:val="24"/>
          <w:szCs w:val="24"/>
        </w:rPr>
      </w:pPr>
      <w:r>
        <w:rPr>
          <w:rFonts w:ascii="Garamond" w:hAnsi="Garamond"/>
          <w:sz w:val="24"/>
          <w:szCs w:val="24"/>
        </w:rPr>
        <w:t xml:space="preserve">Certain sub-criteria </w:t>
      </w:r>
      <w:r w:rsidR="00E9172F">
        <w:rPr>
          <w:rFonts w:ascii="Garamond" w:hAnsi="Garamond"/>
          <w:sz w:val="24"/>
          <w:szCs w:val="24"/>
        </w:rPr>
        <w:t>were</w:t>
      </w:r>
      <w:r>
        <w:rPr>
          <w:rFonts w:ascii="Garamond" w:hAnsi="Garamond"/>
          <w:sz w:val="24"/>
          <w:szCs w:val="24"/>
        </w:rPr>
        <w:t xml:space="preserve"> set for bonus points</w:t>
      </w:r>
      <w:r w:rsidR="00BD4CE1">
        <w:rPr>
          <w:rFonts w:ascii="Garamond" w:hAnsi="Garamond"/>
          <w:b/>
          <w:sz w:val="24"/>
          <w:szCs w:val="24"/>
        </w:rPr>
        <w:t xml:space="preserve">.  </w:t>
      </w:r>
      <w:r w:rsidR="00BD4CE1" w:rsidRPr="00BD4CE1">
        <w:rPr>
          <w:rFonts w:ascii="Garamond" w:hAnsi="Garamond"/>
          <w:sz w:val="24"/>
          <w:szCs w:val="24"/>
        </w:rPr>
        <w:t xml:space="preserve">Certain criteria do not apply to all </w:t>
      </w:r>
      <w:r w:rsidR="00354A29">
        <w:rPr>
          <w:rFonts w:ascii="Garamond" w:hAnsi="Garamond"/>
          <w:sz w:val="24"/>
          <w:szCs w:val="24"/>
        </w:rPr>
        <w:t xml:space="preserve">programs </w:t>
      </w:r>
      <w:r w:rsidR="00465209">
        <w:rPr>
          <w:rFonts w:ascii="Garamond" w:hAnsi="Garamond"/>
          <w:sz w:val="24"/>
          <w:szCs w:val="24"/>
        </w:rPr>
        <w:t>and</w:t>
      </w:r>
      <w:r w:rsidR="00BD4CE1" w:rsidRPr="00BD4CE1">
        <w:rPr>
          <w:rFonts w:ascii="Garamond" w:hAnsi="Garamond"/>
          <w:sz w:val="24"/>
          <w:szCs w:val="24"/>
        </w:rPr>
        <w:t xml:space="preserve"> require extra effort to</w:t>
      </w:r>
      <w:r w:rsidR="00BD4CE1">
        <w:rPr>
          <w:rFonts w:ascii="Garamond" w:hAnsi="Garamond"/>
          <w:sz w:val="24"/>
          <w:szCs w:val="24"/>
        </w:rPr>
        <w:t xml:space="preserve"> </w:t>
      </w:r>
      <w:r w:rsidR="00BD4CE1" w:rsidRPr="00BD4CE1">
        <w:rPr>
          <w:rFonts w:ascii="Garamond" w:hAnsi="Garamond"/>
          <w:sz w:val="24"/>
          <w:szCs w:val="24"/>
        </w:rPr>
        <w:t>accomplish.</w:t>
      </w:r>
    </w:p>
    <w:p w:rsidR="006B458A" w:rsidRDefault="006B458A" w:rsidP="000E77AF">
      <w:pPr>
        <w:pStyle w:val="ListParagraph"/>
        <w:numPr>
          <w:ilvl w:val="1"/>
          <w:numId w:val="8"/>
        </w:numPr>
        <w:rPr>
          <w:rFonts w:ascii="Garamond" w:hAnsi="Garamond"/>
          <w:sz w:val="24"/>
          <w:szCs w:val="24"/>
        </w:rPr>
      </w:pPr>
      <w:r w:rsidRPr="005655E8">
        <w:rPr>
          <w:rFonts w:ascii="Garamond" w:hAnsi="Garamond"/>
          <w:sz w:val="24"/>
          <w:szCs w:val="24"/>
        </w:rPr>
        <w:t>No changes were to be made to c</w:t>
      </w:r>
      <w:r w:rsidR="00465209">
        <w:rPr>
          <w:rFonts w:ascii="Garamond" w:hAnsi="Garamond"/>
          <w:sz w:val="24"/>
          <w:szCs w:val="24"/>
        </w:rPr>
        <w:t>riteria once the rating process bega</w:t>
      </w:r>
      <w:r w:rsidRPr="005655E8">
        <w:rPr>
          <w:rFonts w:ascii="Garamond" w:hAnsi="Garamond"/>
          <w:sz w:val="24"/>
          <w:szCs w:val="24"/>
        </w:rPr>
        <w:t xml:space="preserve">n. </w:t>
      </w:r>
    </w:p>
    <w:p w:rsidR="000E77AF" w:rsidRDefault="000E77AF" w:rsidP="000E77AF">
      <w:pPr>
        <w:pStyle w:val="ListParagraph"/>
        <w:numPr>
          <w:ilvl w:val="1"/>
          <w:numId w:val="8"/>
        </w:numPr>
        <w:rPr>
          <w:rFonts w:ascii="Garamond" w:hAnsi="Garamond"/>
          <w:sz w:val="24"/>
          <w:szCs w:val="24"/>
        </w:rPr>
      </w:pPr>
      <w:r>
        <w:rPr>
          <w:rFonts w:ascii="Garamond" w:hAnsi="Garamond"/>
          <w:sz w:val="24"/>
          <w:szCs w:val="24"/>
        </w:rPr>
        <w:t>Data sources for the sub-criteria were:</w:t>
      </w:r>
    </w:p>
    <w:p w:rsidR="000E77AF" w:rsidRDefault="000E77AF" w:rsidP="000E77AF">
      <w:pPr>
        <w:pStyle w:val="ListParagraph"/>
        <w:numPr>
          <w:ilvl w:val="3"/>
          <w:numId w:val="8"/>
        </w:numPr>
        <w:rPr>
          <w:rFonts w:ascii="Garamond" w:hAnsi="Garamond"/>
          <w:sz w:val="24"/>
          <w:szCs w:val="24"/>
        </w:rPr>
      </w:pPr>
      <w:r>
        <w:rPr>
          <w:rFonts w:ascii="Garamond" w:hAnsi="Garamond"/>
          <w:sz w:val="24"/>
          <w:szCs w:val="24"/>
        </w:rPr>
        <w:t>Program review from spring 2014</w:t>
      </w:r>
      <w:r w:rsidR="00E03FD8">
        <w:rPr>
          <w:rFonts w:ascii="Garamond" w:hAnsi="Garamond"/>
          <w:sz w:val="24"/>
          <w:szCs w:val="24"/>
        </w:rPr>
        <w:t xml:space="preserve"> covering AY 2012/13 and 13/14</w:t>
      </w:r>
      <w:r>
        <w:rPr>
          <w:rFonts w:ascii="Garamond" w:hAnsi="Garamond"/>
          <w:sz w:val="24"/>
          <w:szCs w:val="24"/>
        </w:rPr>
        <w:t xml:space="preserve"> </w:t>
      </w:r>
    </w:p>
    <w:p w:rsidR="000E77AF" w:rsidRDefault="000E77AF" w:rsidP="000E77AF">
      <w:pPr>
        <w:pStyle w:val="ListParagraph"/>
        <w:numPr>
          <w:ilvl w:val="3"/>
          <w:numId w:val="8"/>
        </w:numPr>
        <w:rPr>
          <w:rFonts w:ascii="Garamond" w:hAnsi="Garamond"/>
          <w:sz w:val="24"/>
          <w:szCs w:val="24"/>
        </w:rPr>
      </w:pPr>
      <w:r>
        <w:rPr>
          <w:rFonts w:ascii="Garamond" w:hAnsi="Garamond"/>
          <w:sz w:val="24"/>
          <w:szCs w:val="24"/>
        </w:rPr>
        <w:t>Program data sheets</w:t>
      </w:r>
      <w:r w:rsidR="00E03FD8">
        <w:rPr>
          <w:rFonts w:ascii="Garamond" w:hAnsi="Garamond"/>
          <w:sz w:val="24"/>
          <w:szCs w:val="24"/>
        </w:rPr>
        <w:t xml:space="preserve"> prepare by IRPO</w:t>
      </w:r>
      <w:r>
        <w:rPr>
          <w:rFonts w:ascii="Garamond" w:hAnsi="Garamond"/>
          <w:sz w:val="24"/>
          <w:szCs w:val="24"/>
        </w:rPr>
        <w:t xml:space="preserve"> </w:t>
      </w:r>
    </w:p>
    <w:p w:rsidR="000E77AF" w:rsidRDefault="000E77AF" w:rsidP="000E77AF">
      <w:pPr>
        <w:pStyle w:val="ListParagraph"/>
        <w:numPr>
          <w:ilvl w:val="3"/>
          <w:numId w:val="8"/>
        </w:numPr>
        <w:rPr>
          <w:rFonts w:ascii="Garamond" w:hAnsi="Garamond"/>
          <w:sz w:val="24"/>
          <w:szCs w:val="24"/>
        </w:rPr>
      </w:pPr>
      <w:r>
        <w:rPr>
          <w:rFonts w:ascii="Garamond" w:hAnsi="Garamond"/>
          <w:sz w:val="24"/>
          <w:szCs w:val="24"/>
        </w:rPr>
        <w:t>Institutional data on IRPO website</w:t>
      </w:r>
    </w:p>
    <w:p w:rsidR="002534AA" w:rsidRPr="005655E8" w:rsidRDefault="002534AA" w:rsidP="002534AA">
      <w:pPr>
        <w:pStyle w:val="ListParagraph"/>
        <w:numPr>
          <w:ilvl w:val="1"/>
          <w:numId w:val="8"/>
        </w:numPr>
        <w:rPr>
          <w:rFonts w:ascii="Garamond" w:hAnsi="Garamond"/>
          <w:sz w:val="24"/>
          <w:szCs w:val="24"/>
        </w:rPr>
      </w:pPr>
      <w:r>
        <w:rPr>
          <w:rFonts w:ascii="Garamond" w:hAnsi="Garamond"/>
          <w:sz w:val="24"/>
          <w:szCs w:val="24"/>
        </w:rPr>
        <w:t>Programs rated were those designated as either Certificate of Achievement or Degree Program.  Areas such as Achieving College Excellence (ACE) and General Education were not rated.  Consideration should be given for including these “programs” into future prioritizations.</w:t>
      </w:r>
      <w:r w:rsidR="00CC19F0">
        <w:rPr>
          <w:rFonts w:ascii="Garamond" w:hAnsi="Garamond"/>
          <w:sz w:val="24"/>
          <w:szCs w:val="24"/>
        </w:rPr>
        <w:t xml:space="preserve">  This may require a formal change in the definition of what constitutes a program. </w:t>
      </w:r>
    </w:p>
    <w:p w:rsidR="00D12B2B" w:rsidRDefault="00D12B2B" w:rsidP="00A24059">
      <w:pPr>
        <w:rPr>
          <w:rFonts w:ascii="Garamond" w:hAnsi="Garamond"/>
          <w:b/>
          <w:i/>
          <w:sz w:val="24"/>
          <w:szCs w:val="24"/>
        </w:rPr>
      </w:pPr>
      <w:r w:rsidRPr="006650BE">
        <w:rPr>
          <w:rFonts w:ascii="Garamond" w:hAnsi="Garamond"/>
          <w:b/>
          <w:i/>
          <w:sz w:val="24"/>
          <w:szCs w:val="24"/>
        </w:rPr>
        <w:t>Rating decisions</w:t>
      </w:r>
    </w:p>
    <w:p w:rsidR="006B458A" w:rsidRDefault="006B458A" w:rsidP="00A24059">
      <w:pPr>
        <w:rPr>
          <w:rFonts w:ascii="Garamond" w:hAnsi="Garamond"/>
          <w:sz w:val="24"/>
          <w:szCs w:val="24"/>
        </w:rPr>
      </w:pPr>
      <w:r>
        <w:rPr>
          <w:rFonts w:ascii="Garamond" w:hAnsi="Garamond"/>
          <w:sz w:val="24"/>
          <w:szCs w:val="24"/>
        </w:rPr>
        <w:t xml:space="preserve">A decision was made to use the same rating scale 5, </w:t>
      </w:r>
      <w:r w:rsidR="00955A60">
        <w:rPr>
          <w:rFonts w:ascii="Garamond" w:hAnsi="Garamond"/>
          <w:sz w:val="24"/>
          <w:szCs w:val="24"/>
        </w:rPr>
        <w:t>3, and</w:t>
      </w:r>
      <w:r>
        <w:rPr>
          <w:rFonts w:ascii="Garamond" w:hAnsi="Garamond"/>
          <w:sz w:val="24"/>
          <w:szCs w:val="24"/>
        </w:rPr>
        <w:t xml:space="preserve"> 1 from the previous prioritization.  </w:t>
      </w:r>
      <w:r w:rsidR="00955A60">
        <w:rPr>
          <w:rFonts w:ascii="Garamond" w:hAnsi="Garamond"/>
          <w:sz w:val="24"/>
          <w:szCs w:val="24"/>
        </w:rPr>
        <w:t xml:space="preserve">A rating of 1 was to be assigned if no data was provided.  </w:t>
      </w:r>
    </w:p>
    <w:p w:rsidR="00D13609" w:rsidRDefault="00A13D4F" w:rsidP="000E77AF">
      <w:pPr>
        <w:rPr>
          <w:rFonts w:ascii="Garamond" w:hAnsi="Garamond"/>
          <w:sz w:val="24"/>
          <w:szCs w:val="24"/>
        </w:rPr>
      </w:pPr>
      <w:r>
        <w:rPr>
          <w:rFonts w:ascii="Garamond" w:hAnsi="Garamond"/>
          <w:sz w:val="24"/>
          <w:szCs w:val="24"/>
        </w:rPr>
        <w:t xml:space="preserve">The APPWG agreed to follow the 2012 Academic Prioritization in grouping programs as </w:t>
      </w:r>
      <w:r w:rsidR="00D13609">
        <w:rPr>
          <w:rFonts w:ascii="Garamond" w:hAnsi="Garamond"/>
          <w:sz w:val="24"/>
          <w:szCs w:val="24"/>
        </w:rPr>
        <w:t>Top</w:t>
      </w:r>
      <w:r>
        <w:rPr>
          <w:rFonts w:ascii="Garamond" w:hAnsi="Garamond"/>
          <w:sz w:val="24"/>
          <w:szCs w:val="24"/>
        </w:rPr>
        <w:t xml:space="preserve">, </w:t>
      </w:r>
      <w:r w:rsidR="00D13609">
        <w:rPr>
          <w:rFonts w:ascii="Garamond" w:hAnsi="Garamond"/>
          <w:sz w:val="24"/>
          <w:szCs w:val="24"/>
        </w:rPr>
        <w:t>Middle</w:t>
      </w:r>
      <w:r>
        <w:rPr>
          <w:rFonts w:ascii="Garamond" w:hAnsi="Garamond"/>
          <w:sz w:val="24"/>
          <w:szCs w:val="24"/>
        </w:rPr>
        <w:t xml:space="preserve"> and Low. Programs rated </w:t>
      </w:r>
      <w:r w:rsidR="00D13609">
        <w:rPr>
          <w:rFonts w:ascii="Garamond" w:hAnsi="Garamond"/>
          <w:sz w:val="24"/>
          <w:szCs w:val="24"/>
        </w:rPr>
        <w:t>top</w:t>
      </w:r>
      <w:r>
        <w:rPr>
          <w:rFonts w:ascii="Garamond" w:hAnsi="Garamond"/>
          <w:sz w:val="24"/>
          <w:szCs w:val="24"/>
        </w:rPr>
        <w:t xml:space="preserve"> might be </w:t>
      </w:r>
      <w:r w:rsidR="001F67F5">
        <w:rPr>
          <w:rFonts w:ascii="Garamond" w:hAnsi="Garamond"/>
          <w:sz w:val="24"/>
          <w:szCs w:val="24"/>
        </w:rPr>
        <w:t>considered</w:t>
      </w:r>
      <w:r w:rsidR="00B260BD">
        <w:rPr>
          <w:rFonts w:ascii="Garamond" w:hAnsi="Garamond"/>
          <w:sz w:val="24"/>
          <w:szCs w:val="24"/>
        </w:rPr>
        <w:t xml:space="preserve"> for additional resources. </w:t>
      </w:r>
      <w:r>
        <w:rPr>
          <w:rFonts w:ascii="Garamond" w:hAnsi="Garamond"/>
          <w:sz w:val="24"/>
          <w:szCs w:val="24"/>
        </w:rPr>
        <w:t xml:space="preserve">Programs rated </w:t>
      </w:r>
      <w:r w:rsidR="00D13609">
        <w:rPr>
          <w:rFonts w:ascii="Garamond" w:hAnsi="Garamond"/>
          <w:sz w:val="24"/>
          <w:szCs w:val="24"/>
        </w:rPr>
        <w:t>middle</w:t>
      </w:r>
      <w:r>
        <w:rPr>
          <w:rFonts w:ascii="Garamond" w:hAnsi="Garamond"/>
          <w:sz w:val="24"/>
          <w:szCs w:val="24"/>
        </w:rPr>
        <w:t xml:space="preserve"> are deemed as acceptable, but could be improved.  Programs rated low must be improved or</w:t>
      </w:r>
      <w:r w:rsidR="00566AB5">
        <w:rPr>
          <w:rFonts w:ascii="Garamond" w:hAnsi="Garamond"/>
          <w:sz w:val="24"/>
          <w:szCs w:val="24"/>
        </w:rPr>
        <w:t xml:space="preserve"> could face reduction in resources and support services</w:t>
      </w:r>
      <w:r>
        <w:rPr>
          <w:rFonts w:ascii="Garamond" w:hAnsi="Garamond"/>
          <w:sz w:val="24"/>
          <w:szCs w:val="24"/>
        </w:rPr>
        <w:t xml:space="preserve">, major restructuring or phased out.  </w:t>
      </w:r>
    </w:p>
    <w:p w:rsidR="00D13609" w:rsidRDefault="00D13609" w:rsidP="000E77AF">
      <w:pPr>
        <w:rPr>
          <w:rFonts w:ascii="Garamond" w:hAnsi="Garamond"/>
          <w:sz w:val="24"/>
          <w:szCs w:val="24"/>
        </w:rPr>
      </w:pPr>
      <w:r>
        <w:rPr>
          <w:rFonts w:ascii="Garamond" w:hAnsi="Garamond"/>
          <w:sz w:val="24"/>
          <w:szCs w:val="24"/>
        </w:rPr>
        <w:t xml:space="preserve">Additionally, as programs in different degree categories serve populations and purposes, the APPWG agreed to rank programs by Associate, Associate of Applied Science, Certificate and Third Year Programs (Trial counselor programs was included with the Third Year </w:t>
      </w:r>
      <w:r w:rsidR="008E1E3B">
        <w:rPr>
          <w:rFonts w:ascii="Garamond" w:hAnsi="Garamond"/>
          <w:sz w:val="24"/>
          <w:szCs w:val="24"/>
        </w:rPr>
        <w:t>Programs</w:t>
      </w:r>
      <w:r>
        <w:rPr>
          <w:rFonts w:ascii="Garamond" w:hAnsi="Garamond"/>
          <w:sz w:val="24"/>
          <w:szCs w:val="24"/>
        </w:rPr>
        <w:t xml:space="preserve"> as its population is expected to h</w:t>
      </w:r>
      <w:r w:rsidR="008E1E3B">
        <w:rPr>
          <w:rFonts w:ascii="Garamond" w:hAnsi="Garamond"/>
          <w:sz w:val="24"/>
          <w:szCs w:val="24"/>
        </w:rPr>
        <w:t>a</w:t>
      </w:r>
      <w:r>
        <w:rPr>
          <w:rFonts w:ascii="Garamond" w:hAnsi="Garamond"/>
          <w:sz w:val="24"/>
          <w:szCs w:val="24"/>
        </w:rPr>
        <w:t xml:space="preserve">ve already achieved an </w:t>
      </w:r>
      <w:r w:rsidR="008E1E3B">
        <w:rPr>
          <w:rFonts w:ascii="Garamond" w:hAnsi="Garamond"/>
          <w:sz w:val="24"/>
          <w:szCs w:val="24"/>
        </w:rPr>
        <w:t>associate’s</w:t>
      </w:r>
      <w:r>
        <w:rPr>
          <w:rFonts w:ascii="Garamond" w:hAnsi="Garamond"/>
          <w:sz w:val="24"/>
          <w:szCs w:val="24"/>
        </w:rPr>
        <w:t xml:space="preserve"> degree).</w:t>
      </w:r>
    </w:p>
    <w:p w:rsidR="000E77AF" w:rsidRPr="006650BE" w:rsidRDefault="000E77AF" w:rsidP="000E77AF">
      <w:pPr>
        <w:rPr>
          <w:rFonts w:ascii="Garamond" w:hAnsi="Garamond"/>
          <w:b/>
          <w:i/>
          <w:sz w:val="24"/>
          <w:szCs w:val="24"/>
        </w:rPr>
      </w:pPr>
      <w:r w:rsidRPr="006650BE">
        <w:rPr>
          <w:rFonts w:ascii="Garamond" w:hAnsi="Garamond"/>
          <w:b/>
          <w:i/>
          <w:sz w:val="24"/>
          <w:szCs w:val="24"/>
        </w:rPr>
        <w:t>Teams</w:t>
      </w:r>
      <w:r w:rsidR="00686BEB">
        <w:rPr>
          <w:rFonts w:ascii="Garamond" w:hAnsi="Garamond"/>
          <w:b/>
          <w:i/>
          <w:sz w:val="24"/>
          <w:szCs w:val="24"/>
        </w:rPr>
        <w:t xml:space="preserve"> and calibration</w:t>
      </w:r>
    </w:p>
    <w:p w:rsidR="000E77AF" w:rsidRDefault="00465209" w:rsidP="00955A60">
      <w:pPr>
        <w:tabs>
          <w:tab w:val="left" w:pos="3717"/>
        </w:tabs>
        <w:rPr>
          <w:rFonts w:ascii="Garamond" w:hAnsi="Garamond"/>
          <w:sz w:val="24"/>
          <w:szCs w:val="24"/>
        </w:rPr>
      </w:pPr>
      <w:r>
        <w:rPr>
          <w:rFonts w:ascii="Garamond" w:hAnsi="Garamond"/>
          <w:sz w:val="24"/>
          <w:szCs w:val="24"/>
        </w:rPr>
        <w:t>To reduce overall work</w:t>
      </w:r>
      <w:r w:rsidR="00686BEB">
        <w:rPr>
          <w:rFonts w:ascii="Garamond" w:hAnsi="Garamond"/>
          <w:sz w:val="24"/>
          <w:szCs w:val="24"/>
        </w:rPr>
        <w:t>load on committee members, t</w:t>
      </w:r>
      <w:r w:rsidR="000E77AF">
        <w:rPr>
          <w:rFonts w:ascii="Garamond" w:hAnsi="Garamond"/>
          <w:sz w:val="24"/>
          <w:szCs w:val="24"/>
        </w:rPr>
        <w:t>he APPWG established four teams</w:t>
      </w:r>
      <w:r w:rsidR="00686BEB">
        <w:rPr>
          <w:rFonts w:ascii="Garamond" w:hAnsi="Garamond"/>
          <w:sz w:val="24"/>
          <w:szCs w:val="24"/>
        </w:rPr>
        <w:t xml:space="preserve">. </w:t>
      </w:r>
      <w:r w:rsidR="000E77AF">
        <w:rPr>
          <w:rFonts w:ascii="Garamond" w:hAnsi="Garamond"/>
          <w:sz w:val="24"/>
          <w:szCs w:val="24"/>
        </w:rPr>
        <w:t xml:space="preserve"> </w:t>
      </w:r>
      <w:r w:rsidR="00686BEB">
        <w:rPr>
          <w:rFonts w:ascii="Garamond" w:hAnsi="Garamond"/>
          <w:sz w:val="24"/>
          <w:szCs w:val="24"/>
        </w:rPr>
        <w:t>Programs were assigned to the various teams for rating.</w:t>
      </w:r>
    </w:p>
    <w:p w:rsidR="00686BEB" w:rsidRDefault="00686BEB" w:rsidP="00955A60">
      <w:pPr>
        <w:tabs>
          <w:tab w:val="left" w:pos="3717"/>
        </w:tabs>
        <w:rPr>
          <w:rFonts w:ascii="Garamond" w:hAnsi="Garamond"/>
          <w:sz w:val="24"/>
          <w:szCs w:val="24"/>
        </w:rPr>
      </w:pPr>
      <w:r>
        <w:rPr>
          <w:rFonts w:ascii="Garamond" w:hAnsi="Garamond"/>
          <w:sz w:val="24"/>
          <w:szCs w:val="24"/>
        </w:rPr>
        <w:lastRenderedPageBreak/>
        <w:t xml:space="preserve">To ensure consistency of ratings across the four teams, two strategies were used.  </w:t>
      </w:r>
      <w:r w:rsidR="008D287E">
        <w:rPr>
          <w:rFonts w:ascii="Garamond" w:hAnsi="Garamond"/>
          <w:sz w:val="24"/>
          <w:szCs w:val="24"/>
        </w:rPr>
        <w:t>First</w:t>
      </w:r>
      <w:r w:rsidR="00A66CC8">
        <w:rPr>
          <w:rFonts w:ascii="Garamond" w:hAnsi="Garamond"/>
          <w:sz w:val="24"/>
          <w:szCs w:val="24"/>
        </w:rPr>
        <w:t xml:space="preserve">, a program </w:t>
      </w:r>
      <w:r>
        <w:rPr>
          <w:rFonts w:ascii="Garamond" w:hAnsi="Garamond"/>
          <w:sz w:val="24"/>
          <w:szCs w:val="24"/>
        </w:rPr>
        <w:t xml:space="preserve">was selected (Computer Information Sciences) for detailed discussions and </w:t>
      </w:r>
      <w:r w:rsidR="00465209">
        <w:rPr>
          <w:rFonts w:ascii="Garamond" w:hAnsi="Garamond"/>
          <w:sz w:val="24"/>
          <w:szCs w:val="24"/>
        </w:rPr>
        <w:t xml:space="preserve">was </w:t>
      </w:r>
      <w:r>
        <w:rPr>
          <w:rFonts w:ascii="Garamond" w:hAnsi="Garamond"/>
          <w:sz w:val="24"/>
          <w:szCs w:val="24"/>
        </w:rPr>
        <w:t>review</w:t>
      </w:r>
      <w:r w:rsidR="00465209">
        <w:rPr>
          <w:rFonts w:ascii="Garamond" w:hAnsi="Garamond"/>
          <w:sz w:val="24"/>
          <w:szCs w:val="24"/>
        </w:rPr>
        <w:t>ed</w:t>
      </w:r>
      <w:r>
        <w:rPr>
          <w:rFonts w:ascii="Garamond" w:hAnsi="Garamond"/>
          <w:sz w:val="24"/>
          <w:szCs w:val="24"/>
        </w:rPr>
        <w:t xml:space="preserve"> by the</w:t>
      </w:r>
      <w:r w:rsidR="00A0646A">
        <w:rPr>
          <w:rFonts w:ascii="Garamond" w:hAnsi="Garamond"/>
          <w:sz w:val="24"/>
          <w:szCs w:val="24"/>
        </w:rPr>
        <w:t xml:space="preserve"> </w:t>
      </w:r>
      <w:r>
        <w:rPr>
          <w:rFonts w:ascii="Garamond" w:hAnsi="Garamond"/>
          <w:sz w:val="24"/>
          <w:szCs w:val="24"/>
        </w:rPr>
        <w:t xml:space="preserve">group as a whole.  Second, selected programs were assigned to more than one group to have cross validation for the ratings.  </w:t>
      </w:r>
    </w:p>
    <w:p w:rsidR="00955A60" w:rsidRPr="00124E5F" w:rsidRDefault="00124E5F" w:rsidP="00124E5F">
      <w:pPr>
        <w:tabs>
          <w:tab w:val="left" w:pos="3717"/>
        </w:tabs>
        <w:rPr>
          <w:rFonts w:ascii="Garamond" w:hAnsi="Garamond"/>
          <w:sz w:val="24"/>
          <w:szCs w:val="24"/>
        </w:rPr>
      </w:pPr>
      <w:r>
        <w:rPr>
          <w:rFonts w:ascii="Garamond" w:hAnsi="Garamond"/>
          <w:sz w:val="24"/>
          <w:szCs w:val="24"/>
        </w:rPr>
        <w:t xml:space="preserve">A review of the ratings for programs </w:t>
      </w:r>
      <w:r w:rsidR="00465209">
        <w:rPr>
          <w:rFonts w:ascii="Garamond" w:hAnsi="Garamond"/>
          <w:sz w:val="24"/>
          <w:szCs w:val="24"/>
        </w:rPr>
        <w:t>with</w:t>
      </w:r>
      <w:r>
        <w:rPr>
          <w:rFonts w:ascii="Garamond" w:hAnsi="Garamond"/>
          <w:sz w:val="24"/>
          <w:szCs w:val="24"/>
        </w:rPr>
        <w:t xml:space="preserve"> cross validation generally </w:t>
      </w:r>
      <w:r w:rsidR="00465209">
        <w:rPr>
          <w:rFonts w:ascii="Garamond" w:hAnsi="Garamond"/>
          <w:sz w:val="24"/>
          <w:szCs w:val="24"/>
        </w:rPr>
        <w:t xml:space="preserve">showed </w:t>
      </w:r>
      <w:r>
        <w:rPr>
          <w:rFonts w:ascii="Garamond" w:hAnsi="Garamond"/>
          <w:sz w:val="24"/>
          <w:szCs w:val="24"/>
        </w:rPr>
        <w:t xml:space="preserve">similar ratings.  </w:t>
      </w:r>
      <w:r w:rsidR="00EF7747">
        <w:rPr>
          <w:rFonts w:ascii="Garamond" w:hAnsi="Garamond"/>
          <w:sz w:val="24"/>
          <w:szCs w:val="24"/>
        </w:rPr>
        <w:t>Where program ratings variation was high, a third reading was conduc</w:t>
      </w:r>
      <w:r w:rsidR="00344BA3">
        <w:rPr>
          <w:rFonts w:ascii="Garamond" w:hAnsi="Garamond"/>
          <w:sz w:val="24"/>
          <w:szCs w:val="24"/>
        </w:rPr>
        <w:t>ted to valid</w:t>
      </w:r>
      <w:r w:rsidR="00242EF7">
        <w:rPr>
          <w:rFonts w:ascii="Garamond" w:hAnsi="Garamond"/>
          <w:sz w:val="24"/>
          <w:szCs w:val="24"/>
        </w:rPr>
        <w:t>ate</w:t>
      </w:r>
      <w:r w:rsidR="00344BA3">
        <w:rPr>
          <w:rFonts w:ascii="Garamond" w:hAnsi="Garamond"/>
          <w:sz w:val="24"/>
          <w:szCs w:val="24"/>
        </w:rPr>
        <w:t xml:space="preserve"> the overall rating through a</w:t>
      </w:r>
      <w:r w:rsidR="00242EF7">
        <w:rPr>
          <w:rFonts w:ascii="Garamond" w:hAnsi="Garamond"/>
          <w:sz w:val="24"/>
          <w:szCs w:val="24"/>
        </w:rPr>
        <w:t>n</w:t>
      </w:r>
      <w:r w:rsidR="00344BA3">
        <w:rPr>
          <w:rFonts w:ascii="Garamond" w:hAnsi="Garamond"/>
          <w:sz w:val="24"/>
          <w:szCs w:val="24"/>
        </w:rPr>
        <w:t xml:space="preserve"> averaging system.</w:t>
      </w:r>
      <w:r w:rsidR="00FF6058">
        <w:rPr>
          <w:rFonts w:ascii="Garamond" w:hAnsi="Garamond"/>
          <w:sz w:val="24"/>
          <w:szCs w:val="24"/>
        </w:rPr>
        <w:t xml:space="preserve"> (see appendix B for summary ratings)</w:t>
      </w:r>
    </w:p>
    <w:p w:rsidR="00D12B2B" w:rsidRPr="006650BE" w:rsidRDefault="00D12B2B">
      <w:pPr>
        <w:rPr>
          <w:rFonts w:ascii="Garamond" w:hAnsi="Garamond"/>
          <w:b/>
          <w:sz w:val="24"/>
          <w:szCs w:val="24"/>
        </w:rPr>
      </w:pPr>
      <w:r w:rsidRPr="006650BE">
        <w:rPr>
          <w:rFonts w:ascii="Garamond" w:hAnsi="Garamond"/>
          <w:b/>
          <w:sz w:val="24"/>
          <w:szCs w:val="24"/>
        </w:rPr>
        <w:t>Results:</w:t>
      </w:r>
    </w:p>
    <w:p w:rsidR="00D12B2B" w:rsidRPr="006650BE" w:rsidRDefault="00D12B2B" w:rsidP="00A24059">
      <w:pPr>
        <w:rPr>
          <w:rFonts w:ascii="Garamond" w:hAnsi="Garamond"/>
          <w:b/>
          <w:i/>
          <w:sz w:val="24"/>
          <w:szCs w:val="24"/>
        </w:rPr>
      </w:pPr>
      <w:r w:rsidRPr="006650BE">
        <w:rPr>
          <w:rFonts w:ascii="Garamond" w:hAnsi="Garamond"/>
          <w:b/>
          <w:i/>
          <w:sz w:val="24"/>
          <w:szCs w:val="24"/>
        </w:rPr>
        <w:t>Prioritization:</w:t>
      </w:r>
    </w:p>
    <w:p w:rsidR="00D12B2B" w:rsidRDefault="00D12B2B" w:rsidP="00010635">
      <w:pPr>
        <w:tabs>
          <w:tab w:val="left" w:pos="2055"/>
        </w:tabs>
        <w:ind w:left="720"/>
        <w:rPr>
          <w:rFonts w:ascii="Garamond" w:hAnsi="Garamond"/>
          <w:b/>
          <w:i/>
          <w:sz w:val="24"/>
          <w:szCs w:val="24"/>
        </w:rPr>
      </w:pPr>
      <w:r w:rsidRPr="006650BE">
        <w:rPr>
          <w:rFonts w:ascii="Garamond" w:hAnsi="Garamond"/>
          <w:b/>
          <w:i/>
          <w:sz w:val="24"/>
          <w:szCs w:val="24"/>
        </w:rPr>
        <w:t>Findings:</w:t>
      </w:r>
      <w:r w:rsidR="00010635" w:rsidRPr="006650BE">
        <w:rPr>
          <w:rFonts w:ascii="Garamond" w:hAnsi="Garamond"/>
          <w:b/>
          <w:i/>
          <w:sz w:val="24"/>
          <w:szCs w:val="24"/>
        </w:rPr>
        <w:tab/>
      </w:r>
    </w:p>
    <w:p w:rsidR="00A13D4F" w:rsidRPr="00A13D4F" w:rsidRDefault="00D13609" w:rsidP="00010635">
      <w:pPr>
        <w:tabs>
          <w:tab w:val="left" w:pos="2055"/>
        </w:tabs>
        <w:ind w:left="720"/>
        <w:rPr>
          <w:rFonts w:ascii="Garamond" w:hAnsi="Garamond"/>
          <w:sz w:val="24"/>
          <w:szCs w:val="24"/>
        </w:rPr>
      </w:pPr>
      <w:r>
        <w:rPr>
          <w:rFonts w:ascii="Garamond" w:hAnsi="Garamond"/>
          <w:sz w:val="24"/>
          <w:szCs w:val="24"/>
        </w:rPr>
        <w:t>The following table provides t</w:t>
      </w:r>
      <w:r w:rsidR="00C40F98">
        <w:rPr>
          <w:rFonts w:ascii="Garamond" w:hAnsi="Garamond"/>
          <w:sz w:val="24"/>
          <w:szCs w:val="24"/>
        </w:rPr>
        <w:t xml:space="preserve">he recommendations of the APPWG on programs on placed into Top, Middle and Low categories.  </w:t>
      </w:r>
    </w:p>
    <w:tbl>
      <w:tblPr>
        <w:tblStyle w:val="TableGrid"/>
        <w:tblW w:w="0" w:type="auto"/>
        <w:tblLayout w:type="fixed"/>
        <w:tblLook w:val="04A0" w:firstRow="1" w:lastRow="0" w:firstColumn="1" w:lastColumn="0" w:noHBand="0" w:noVBand="1"/>
      </w:tblPr>
      <w:tblGrid>
        <w:gridCol w:w="866"/>
        <w:gridCol w:w="2139"/>
        <w:gridCol w:w="2143"/>
        <w:gridCol w:w="2340"/>
        <w:gridCol w:w="2070"/>
      </w:tblGrid>
      <w:tr w:rsidR="00010635" w:rsidRPr="006650BE" w:rsidTr="00E9172F">
        <w:tc>
          <w:tcPr>
            <w:tcW w:w="9558" w:type="dxa"/>
            <w:gridSpan w:val="5"/>
          </w:tcPr>
          <w:p w:rsidR="00010635" w:rsidRPr="006650BE" w:rsidRDefault="00010635" w:rsidP="00A84484">
            <w:pPr>
              <w:tabs>
                <w:tab w:val="center" w:pos="4567"/>
                <w:tab w:val="left" w:pos="7485"/>
              </w:tabs>
              <w:rPr>
                <w:rFonts w:ascii="Garamond" w:hAnsi="Garamond"/>
                <w:b/>
                <w:sz w:val="24"/>
                <w:szCs w:val="24"/>
              </w:rPr>
            </w:pPr>
            <w:r w:rsidRPr="006650BE">
              <w:rPr>
                <w:rFonts w:ascii="Garamond" w:hAnsi="Garamond"/>
                <w:b/>
                <w:sz w:val="24"/>
                <w:szCs w:val="24"/>
              </w:rPr>
              <w:tab/>
              <w:t>Academic Program Prioritization 2014 Rankings</w:t>
            </w:r>
            <w:r w:rsidRPr="006650BE">
              <w:rPr>
                <w:rFonts w:ascii="Garamond" w:hAnsi="Garamond"/>
                <w:b/>
                <w:sz w:val="24"/>
                <w:szCs w:val="24"/>
              </w:rPr>
              <w:tab/>
            </w:r>
          </w:p>
        </w:tc>
      </w:tr>
      <w:tr w:rsidR="00964C25" w:rsidRPr="006650BE" w:rsidTr="00E9172F">
        <w:tc>
          <w:tcPr>
            <w:tcW w:w="866" w:type="dxa"/>
          </w:tcPr>
          <w:p w:rsidR="00010635" w:rsidRPr="006650BE" w:rsidRDefault="00010635" w:rsidP="00A84484">
            <w:pPr>
              <w:rPr>
                <w:rFonts w:ascii="Garamond" w:hAnsi="Garamond"/>
                <w:b/>
                <w:sz w:val="24"/>
                <w:szCs w:val="24"/>
              </w:rPr>
            </w:pPr>
          </w:p>
        </w:tc>
        <w:tc>
          <w:tcPr>
            <w:tcW w:w="2139" w:type="dxa"/>
          </w:tcPr>
          <w:p w:rsidR="00010635" w:rsidRPr="006650BE" w:rsidRDefault="00010635" w:rsidP="00A84484">
            <w:pPr>
              <w:rPr>
                <w:rFonts w:ascii="Garamond" w:hAnsi="Garamond"/>
                <w:b/>
                <w:sz w:val="24"/>
                <w:szCs w:val="24"/>
              </w:rPr>
            </w:pPr>
            <w:r w:rsidRPr="006650BE">
              <w:rPr>
                <w:rFonts w:ascii="Garamond" w:hAnsi="Garamond"/>
                <w:b/>
                <w:sz w:val="24"/>
                <w:szCs w:val="24"/>
              </w:rPr>
              <w:t>Associates</w:t>
            </w:r>
          </w:p>
        </w:tc>
        <w:tc>
          <w:tcPr>
            <w:tcW w:w="2143" w:type="dxa"/>
          </w:tcPr>
          <w:p w:rsidR="00010635" w:rsidRPr="006650BE" w:rsidRDefault="00010635" w:rsidP="00A84484">
            <w:pPr>
              <w:rPr>
                <w:rFonts w:ascii="Garamond" w:hAnsi="Garamond"/>
                <w:b/>
                <w:sz w:val="24"/>
                <w:szCs w:val="24"/>
              </w:rPr>
            </w:pPr>
            <w:r w:rsidRPr="006650BE">
              <w:rPr>
                <w:rFonts w:ascii="Garamond" w:hAnsi="Garamond"/>
                <w:b/>
                <w:sz w:val="24"/>
                <w:szCs w:val="24"/>
              </w:rPr>
              <w:t>Applied Sciences</w:t>
            </w:r>
          </w:p>
        </w:tc>
        <w:tc>
          <w:tcPr>
            <w:tcW w:w="2340" w:type="dxa"/>
          </w:tcPr>
          <w:p w:rsidR="00010635" w:rsidRPr="006650BE" w:rsidRDefault="00010635" w:rsidP="00A84484">
            <w:pPr>
              <w:rPr>
                <w:rFonts w:ascii="Garamond" w:hAnsi="Garamond"/>
                <w:b/>
                <w:sz w:val="24"/>
                <w:szCs w:val="24"/>
              </w:rPr>
            </w:pPr>
            <w:r w:rsidRPr="006650BE">
              <w:rPr>
                <w:rFonts w:ascii="Garamond" w:hAnsi="Garamond"/>
                <w:b/>
                <w:sz w:val="24"/>
                <w:szCs w:val="24"/>
              </w:rPr>
              <w:t>Certificates</w:t>
            </w:r>
          </w:p>
        </w:tc>
        <w:tc>
          <w:tcPr>
            <w:tcW w:w="2070" w:type="dxa"/>
          </w:tcPr>
          <w:p w:rsidR="00010635" w:rsidRPr="006650BE" w:rsidRDefault="00010635" w:rsidP="00A84484">
            <w:pPr>
              <w:rPr>
                <w:rFonts w:ascii="Garamond" w:hAnsi="Garamond"/>
                <w:b/>
                <w:sz w:val="24"/>
                <w:szCs w:val="24"/>
              </w:rPr>
            </w:pPr>
            <w:r w:rsidRPr="006650BE">
              <w:rPr>
                <w:rFonts w:ascii="Garamond" w:hAnsi="Garamond"/>
                <w:b/>
                <w:sz w:val="24"/>
                <w:szCs w:val="24"/>
              </w:rPr>
              <w:t>Third Year Programs</w:t>
            </w:r>
          </w:p>
        </w:tc>
      </w:tr>
      <w:tr w:rsidR="00964C25" w:rsidRPr="006650BE" w:rsidTr="00E9172F">
        <w:tc>
          <w:tcPr>
            <w:tcW w:w="866" w:type="dxa"/>
          </w:tcPr>
          <w:p w:rsidR="00010635" w:rsidRPr="00E9172F" w:rsidRDefault="00010635" w:rsidP="00A84484">
            <w:pPr>
              <w:rPr>
                <w:rFonts w:ascii="Garamond" w:hAnsi="Garamond"/>
                <w:sz w:val="24"/>
                <w:szCs w:val="24"/>
              </w:rPr>
            </w:pPr>
            <w:r w:rsidRPr="00E9172F">
              <w:rPr>
                <w:rFonts w:ascii="Garamond" w:hAnsi="Garamond"/>
                <w:sz w:val="24"/>
                <w:szCs w:val="24"/>
              </w:rPr>
              <w:t>Top</w:t>
            </w:r>
          </w:p>
        </w:tc>
        <w:tc>
          <w:tcPr>
            <w:tcW w:w="2139" w:type="dxa"/>
          </w:tcPr>
          <w:p w:rsidR="00010635" w:rsidRPr="006650BE"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AA Micronesian Studies</w:t>
            </w:r>
          </w:p>
          <w:p w:rsidR="00010635" w:rsidRPr="006650BE"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AS Business Administration</w:t>
            </w:r>
          </w:p>
          <w:p w:rsidR="00010635" w:rsidRPr="006650BE"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AS Public Health</w:t>
            </w:r>
          </w:p>
          <w:p w:rsidR="00010635" w:rsidRPr="00465209"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AA Liberal Arts</w:t>
            </w:r>
          </w:p>
        </w:tc>
        <w:tc>
          <w:tcPr>
            <w:tcW w:w="2143" w:type="dxa"/>
          </w:tcPr>
          <w:p w:rsidR="00010635" w:rsidRPr="006650BE" w:rsidRDefault="00010635" w:rsidP="00A84484">
            <w:pPr>
              <w:pStyle w:val="ListParagraph"/>
              <w:numPr>
                <w:ilvl w:val="0"/>
                <w:numId w:val="4"/>
              </w:numPr>
              <w:rPr>
                <w:rFonts w:ascii="Garamond" w:hAnsi="Garamond"/>
                <w:color w:val="000000"/>
                <w:sz w:val="24"/>
                <w:szCs w:val="24"/>
              </w:rPr>
            </w:pPr>
            <w:r w:rsidRPr="006650BE">
              <w:rPr>
                <w:rFonts w:ascii="Garamond" w:hAnsi="Garamond"/>
                <w:color w:val="000000"/>
                <w:sz w:val="24"/>
                <w:szCs w:val="24"/>
              </w:rPr>
              <w:t xml:space="preserve">AAS </w:t>
            </w:r>
            <w:r w:rsidR="00E9172F" w:rsidRPr="006650BE">
              <w:rPr>
                <w:rFonts w:ascii="Garamond" w:hAnsi="Garamond"/>
                <w:color w:val="000000"/>
                <w:sz w:val="24"/>
                <w:szCs w:val="24"/>
              </w:rPr>
              <w:t>Telecommunic</w:t>
            </w:r>
            <w:r w:rsidR="00E9172F">
              <w:rPr>
                <w:rFonts w:ascii="Garamond" w:hAnsi="Garamond"/>
                <w:color w:val="000000"/>
                <w:sz w:val="24"/>
                <w:szCs w:val="24"/>
              </w:rPr>
              <w:t>a</w:t>
            </w:r>
            <w:r w:rsidR="00E9172F" w:rsidRPr="006650BE">
              <w:rPr>
                <w:rFonts w:ascii="Garamond" w:hAnsi="Garamond"/>
                <w:color w:val="000000"/>
                <w:sz w:val="24"/>
                <w:szCs w:val="24"/>
              </w:rPr>
              <w:t>tions</w:t>
            </w:r>
          </w:p>
          <w:p w:rsidR="00010635" w:rsidRPr="006650BE" w:rsidRDefault="00010635" w:rsidP="00A84484">
            <w:pPr>
              <w:rPr>
                <w:rFonts w:ascii="Garamond" w:eastAsia="Times New Roman" w:hAnsi="Garamond" w:cs="Times New Roman"/>
                <w:color w:val="000000"/>
                <w:sz w:val="24"/>
                <w:szCs w:val="24"/>
              </w:rPr>
            </w:pPr>
          </w:p>
        </w:tc>
        <w:tc>
          <w:tcPr>
            <w:tcW w:w="2340" w:type="dxa"/>
          </w:tcPr>
          <w:p w:rsidR="00736DF3" w:rsidRDefault="00736DF3" w:rsidP="00A84484">
            <w:pPr>
              <w:pStyle w:val="ListParagraph"/>
              <w:numPr>
                <w:ilvl w:val="0"/>
                <w:numId w:val="1"/>
              </w:num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COA Agriculture and Food Technology Program</w:t>
            </w:r>
          </w:p>
          <w:p w:rsidR="00010635" w:rsidRPr="006650BE"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COA Refrigeration and Air Conditioning</w:t>
            </w:r>
          </w:p>
          <w:p w:rsidR="00010635" w:rsidRPr="00A0646A"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COA Cabinet &amp; Furniture Making</w:t>
            </w:r>
          </w:p>
        </w:tc>
        <w:tc>
          <w:tcPr>
            <w:tcW w:w="2070" w:type="dxa"/>
          </w:tcPr>
          <w:p w:rsidR="00010635" w:rsidRPr="006650BE" w:rsidRDefault="00010635" w:rsidP="00A84484">
            <w:pPr>
              <w:pStyle w:val="ListParagraph"/>
              <w:numPr>
                <w:ilvl w:val="0"/>
                <w:numId w:val="1"/>
              </w:numPr>
              <w:rPr>
                <w:rFonts w:ascii="Garamond" w:hAnsi="Garamond"/>
                <w:color w:val="000000"/>
                <w:sz w:val="24"/>
                <w:szCs w:val="24"/>
              </w:rPr>
            </w:pPr>
            <w:r w:rsidRPr="006650BE">
              <w:rPr>
                <w:rFonts w:ascii="Garamond" w:hAnsi="Garamond"/>
                <w:color w:val="000000"/>
                <w:sz w:val="24"/>
                <w:szCs w:val="24"/>
              </w:rPr>
              <w:t>TYC Teacher Preparation Elementary</w:t>
            </w:r>
          </w:p>
          <w:p w:rsidR="00010635" w:rsidRPr="006650BE" w:rsidRDefault="00010635" w:rsidP="00A84484">
            <w:pPr>
              <w:rPr>
                <w:rFonts w:ascii="Garamond" w:hAnsi="Garamond"/>
                <w:sz w:val="24"/>
                <w:szCs w:val="24"/>
              </w:rPr>
            </w:pPr>
          </w:p>
        </w:tc>
      </w:tr>
      <w:tr w:rsidR="00964C25" w:rsidRPr="006650BE" w:rsidTr="00E9172F">
        <w:tc>
          <w:tcPr>
            <w:tcW w:w="866" w:type="dxa"/>
          </w:tcPr>
          <w:p w:rsidR="00010635" w:rsidRPr="006650BE" w:rsidRDefault="00010635" w:rsidP="00A84484">
            <w:pPr>
              <w:rPr>
                <w:rFonts w:ascii="Garamond" w:hAnsi="Garamond"/>
                <w:sz w:val="24"/>
                <w:szCs w:val="24"/>
              </w:rPr>
            </w:pPr>
            <w:r w:rsidRPr="006650BE">
              <w:rPr>
                <w:rFonts w:ascii="Garamond" w:hAnsi="Garamond"/>
                <w:sz w:val="24"/>
                <w:szCs w:val="24"/>
              </w:rPr>
              <w:t>Middle</w:t>
            </w:r>
          </w:p>
        </w:tc>
        <w:tc>
          <w:tcPr>
            <w:tcW w:w="2139" w:type="dxa"/>
          </w:tcPr>
          <w:p w:rsidR="00010635" w:rsidRPr="006650BE"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AS Computer Information Science</w:t>
            </w:r>
          </w:p>
          <w:p w:rsidR="00010635" w:rsidRPr="006650BE"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AS Hospitality and Tourism Management</w:t>
            </w:r>
          </w:p>
          <w:p w:rsidR="00010635" w:rsidRPr="006650BE" w:rsidRDefault="00010635" w:rsidP="00A84484">
            <w:pPr>
              <w:pStyle w:val="ListParagraph"/>
              <w:numPr>
                <w:ilvl w:val="0"/>
                <w:numId w:val="1"/>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AA Pre-Teacher Preparation</w:t>
            </w:r>
          </w:p>
          <w:p w:rsidR="00010635" w:rsidRPr="006650BE" w:rsidRDefault="00010635" w:rsidP="00A84484">
            <w:pPr>
              <w:rPr>
                <w:rFonts w:ascii="Garamond" w:hAnsi="Garamond"/>
                <w:sz w:val="24"/>
                <w:szCs w:val="24"/>
              </w:rPr>
            </w:pPr>
          </w:p>
        </w:tc>
        <w:tc>
          <w:tcPr>
            <w:tcW w:w="2143" w:type="dxa"/>
          </w:tcPr>
          <w:p w:rsidR="00010635" w:rsidRPr="006650BE" w:rsidRDefault="00010635" w:rsidP="00A84484">
            <w:pPr>
              <w:pStyle w:val="ListParagraph"/>
              <w:numPr>
                <w:ilvl w:val="0"/>
                <w:numId w:val="5"/>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AAS Electronic Technology</w:t>
            </w:r>
          </w:p>
          <w:p w:rsidR="00010635" w:rsidRPr="006650BE" w:rsidRDefault="00010635" w:rsidP="00A84484">
            <w:pPr>
              <w:pStyle w:val="ListParagraph"/>
              <w:numPr>
                <w:ilvl w:val="0"/>
                <w:numId w:val="5"/>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AAS Building Technology</w:t>
            </w:r>
          </w:p>
          <w:p w:rsidR="00010635" w:rsidRPr="006650BE" w:rsidRDefault="00010635" w:rsidP="00A84484">
            <w:pPr>
              <w:rPr>
                <w:rFonts w:ascii="Garamond" w:hAnsi="Garamond"/>
                <w:sz w:val="24"/>
                <w:szCs w:val="24"/>
              </w:rPr>
            </w:pPr>
          </w:p>
        </w:tc>
        <w:tc>
          <w:tcPr>
            <w:tcW w:w="2340" w:type="dxa"/>
          </w:tcPr>
          <w:p w:rsidR="00010635" w:rsidRPr="006650BE" w:rsidRDefault="00010635" w:rsidP="00A84484">
            <w:pPr>
              <w:pStyle w:val="ListParagraph"/>
              <w:numPr>
                <w:ilvl w:val="0"/>
                <w:numId w:val="6"/>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 xml:space="preserve">COA Construction Electricity </w:t>
            </w:r>
          </w:p>
          <w:p w:rsidR="00010635" w:rsidRPr="006650BE" w:rsidRDefault="00010635" w:rsidP="00A84484">
            <w:pPr>
              <w:pStyle w:val="ListParagraph"/>
              <w:numPr>
                <w:ilvl w:val="0"/>
                <w:numId w:val="6"/>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 xml:space="preserve">COA Bookkeeping </w:t>
            </w:r>
          </w:p>
          <w:p w:rsidR="00211A1C" w:rsidRDefault="00010635" w:rsidP="00A84484">
            <w:pPr>
              <w:pStyle w:val="ListParagraph"/>
              <w:numPr>
                <w:ilvl w:val="0"/>
                <w:numId w:val="6"/>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COA Carpentry</w:t>
            </w:r>
          </w:p>
          <w:p w:rsidR="00010635" w:rsidRPr="006650BE" w:rsidRDefault="00211A1C" w:rsidP="00A84484">
            <w:pPr>
              <w:pStyle w:val="ListParagraph"/>
              <w:numPr>
                <w:ilvl w:val="0"/>
                <w:numId w:val="6"/>
              </w:num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COA Community Health Assistant</w:t>
            </w:r>
            <w:r w:rsidR="00010635" w:rsidRPr="006650BE">
              <w:rPr>
                <w:rFonts w:ascii="Garamond" w:eastAsia="Times New Roman" w:hAnsi="Garamond" w:cs="Times New Roman"/>
                <w:color w:val="000000"/>
                <w:sz w:val="24"/>
                <w:szCs w:val="24"/>
              </w:rPr>
              <w:t xml:space="preserve"> </w:t>
            </w:r>
          </w:p>
          <w:p w:rsidR="00010635" w:rsidRPr="006650BE" w:rsidRDefault="00010635" w:rsidP="00A84484">
            <w:pPr>
              <w:pStyle w:val="ListParagraph"/>
              <w:numPr>
                <w:ilvl w:val="0"/>
                <w:numId w:val="6"/>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 xml:space="preserve">COA Electronic Engineering Technology </w:t>
            </w:r>
          </w:p>
          <w:p w:rsidR="00010635" w:rsidRPr="00E9172F" w:rsidRDefault="00010635" w:rsidP="00A84484">
            <w:pPr>
              <w:pStyle w:val="ListParagraph"/>
              <w:numPr>
                <w:ilvl w:val="0"/>
                <w:numId w:val="6"/>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COA Secretarial Science</w:t>
            </w:r>
          </w:p>
        </w:tc>
        <w:tc>
          <w:tcPr>
            <w:tcW w:w="2070" w:type="dxa"/>
          </w:tcPr>
          <w:p w:rsidR="00010635" w:rsidRPr="006650BE" w:rsidRDefault="00010635" w:rsidP="00A84484">
            <w:pPr>
              <w:pStyle w:val="ListParagraph"/>
              <w:numPr>
                <w:ilvl w:val="0"/>
                <w:numId w:val="6"/>
              </w:numPr>
              <w:rPr>
                <w:rFonts w:ascii="Garamond" w:hAnsi="Garamond"/>
                <w:sz w:val="24"/>
                <w:szCs w:val="24"/>
              </w:rPr>
            </w:pPr>
            <w:r w:rsidRPr="006650BE">
              <w:rPr>
                <w:rFonts w:ascii="Garamond" w:hAnsi="Garamond"/>
                <w:sz w:val="24"/>
                <w:szCs w:val="24"/>
              </w:rPr>
              <w:t>COA Trial Counselor</w:t>
            </w:r>
          </w:p>
        </w:tc>
      </w:tr>
      <w:tr w:rsidR="00964C25" w:rsidRPr="006650BE" w:rsidTr="00E9172F">
        <w:tc>
          <w:tcPr>
            <w:tcW w:w="866" w:type="dxa"/>
          </w:tcPr>
          <w:p w:rsidR="00010635" w:rsidRPr="006650BE" w:rsidRDefault="00010635" w:rsidP="00964C25">
            <w:pPr>
              <w:rPr>
                <w:rFonts w:ascii="Garamond" w:hAnsi="Garamond"/>
                <w:sz w:val="24"/>
                <w:szCs w:val="24"/>
              </w:rPr>
            </w:pPr>
            <w:r w:rsidRPr="006650BE">
              <w:rPr>
                <w:rFonts w:ascii="Garamond" w:hAnsi="Garamond"/>
                <w:sz w:val="24"/>
                <w:szCs w:val="24"/>
              </w:rPr>
              <w:t>Low</w:t>
            </w:r>
          </w:p>
        </w:tc>
        <w:tc>
          <w:tcPr>
            <w:tcW w:w="2139" w:type="dxa"/>
          </w:tcPr>
          <w:p w:rsidR="00010635" w:rsidRPr="006650BE" w:rsidRDefault="00010635" w:rsidP="00A84484">
            <w:pPr>
              <w:pStyle w:val="ListParagraph"/>
              <w:numPr>
                <w:ilvl w:val="0"/>
                <w:numId w:val="7"/>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AS Marine Science</w:t>
            </w:r>
          </w:p>
          <w:p w:rsidR="00010635" w:rsidRPr="006650BE" w:rsidRDefault="00010635" w:rsidP="00A84484">
            <w:pPr>
              <w:pStyle w:val="ListParagraph"/>
              <w:numPr>
                <w:ilvl w:val="0"/>
                <w:numId w:val="7"/>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 xml:space="preserve">AA Health Careers Opportunity </w:t>
            </w:r>
            <w:r w:rsidRPr="006650BE">
              <w:rPr>
                <w:rFonts w:ascii="Garamond" w:eastAsia="Times New Roman" w:hAnsi="Garamond" w:cs="Times New Roman"/>
                <w:color w:val="000000"/>
                <w:sz w:val="24"/>
                <w:szCs w:val="24"/>
              </w:rPr>
              <w:lastRenderedPageBreak/>
              <w:t>Program</w:t>
            </w:r>
          </w:p>
          <w:p w:rsidR="00010635" w:rsidRPr="00E9172F" w:rsidRDefault="00010635" w:rsidP="00A84484">
            <w:pPr>
              <w:pStyle w:val="ListParagraph"/>
              <w:numPr>
                <w:ilvl w:val="0"/>
                <w:numId w:val="7"/>
              </w:numPr>
              <w:rPr>
                <w:rFonts w:ascii="Garamond" w:eastAsia="Times New Roman" w:hAnsi="Garamond" w:cs="Times New Roman"/>
                <w:color w:val="000000"/>
                <w:sz w:val="24"/>
                <w:szCs w:val="24"/>
              </w:rPr>
            </w:pPr>
            <w:r w:rsidRPr="006650BE">
              <w:rPr>
                <w:rFonts w:ascii="Garamond" w:eastAsia="Times New Roman" w:hAnsi="Garamond" w:cs="Times New Roman"/>
                <w:color w:val="000000"/>
                <w:sz w:val="24"/>
                <w:szCs w:val="24"/>
              </w:rPr>
              <w:t>AS Agriculture &amp; Natural Resources</w:t>
            </w:r>
          </w:p>
        </w:tc>
        <w:tc>
          <w:tcPr>
            <w:tcW w:w="2143" w:type="dxa"/>
          </w:tcPr>
          <w:p w:rsidR="00010635" w:rsidRPr="006650BE" w:rsidRDefault="00010635" w:rsidP="00A84484">
            <w:pPr>
              <w:pStyle w:val="ListParagraph"/>
              <w:numPr>
                <w:ilvl w:val="0"/>
                <w:numId w:val="7"/>
              </w:numPr>
              <w:rPr>
                <w:rFonts w:ascii="Garamond" w:hAnsi="Garamond"/>
                <w:sz w:val="24"/>
                <w:szCs w:val="24"/>
              </w:rPr>
            </w:pPr>
          </w:p>
        </w:tc>
        <w:tc>
          <w:tcPr>
            <w:tcW w:w="2340" w:type="dxa"/>
          </w:tcPr>
          <w:p w:rsidR="00010635" w:rsidRPr="006650BE" w:rsidRDefault="00010635" w:rsidP="00A84484">
            <w:pPr>
              <w:pStyle w:val="ListParagraph"/>
              <w:numPr>
                <w:ilvl w:val="0"/>
                <w:numId w:val="7"/>
              </w:numPr>
              <w:rPr>
                <w:rFonts w:ascii="Garamond" w:hAnsi="Garamond"/>
                <w:sz w:val="24"/>
                <w:szCs w:val="24"/>
              </w:rPr>
            </w:pPr>
            <w:r w:rsidRPr="006650BE">
              <w:rPr>
                <w:rFonts w:ascii="Garamond" w:hAnsi="Garamond"/>
                <w:sz w:val="24"/>
                <w:szCs w:val="24"/>
              </w:rPr>
              <w:t>COA Nursing Assistant</w:t>
            </w:r>
          </w:p>
        </w:tc>
        <w:tc>
          <w:tcPr>
            <w:tcW w:w="2070" w:type="dxa"/>
          </w:tcPr>
          <w:p w:rsidR="00010635" w:rsidRPr="006650BE" w:rsidRDefault="00010635" w:rsidP="00A84484">
            <w:pPr>
              <w:pStyle w:val="ListParagraph"/>
              <w:numPr>
                <w:ilvl w:val="0"/>
                <w:numId w:val="7"/>
              </w:numPr>
              <w:rPr>
                <w:rFonts w:ascii="Garamond" w:hAnsi="Garamond"/>
                <w:sz w:val="24"/>
                <w:szCs w:val="24"/>
              </w:rPr>
            </w:pPr>
            <w:r w:rsidRPr="006650BE">
              <w:rPr>
                <w:rFonts w:ascii="Garamond" w:hAnsi="Garamond"/>
                <w:sz w:val="24"/>
                <w:szCs w:val="24"/>
              </w:rPr>
              <w:t>TYC Public Health</w:t>
            </w:r>
          </w:p>
        </w:tc>
      </w:tr>
    </w:tbl>
    <w:p w:rsidR="00D12B2B" w:rsidRDefault="00D12B2B" w:rsidP="00A24059">
      <w:pPr>
        <w:ind w:left="720"/>
        <w:rPr>
          <w:rFonts w:ascii="Garamond" w:hAnsi="Garamond"/>
          <w:b/>
          <w:i/>
          <w:sz w:val="24"/>
          <w:szCs w:val="24"/>
        </w:rPr>
      </w:pPr>
      <w:r w:rsidRPr="006650BE">
        <w:rPr>
          <w:rFonts w:ascii="Garamond" w:hAnsi="Garamond"/>
          <w:b/>
          <w:i/>
          <w:sz w:val="24"/>
          <w:szCs w:val="24"/>
        </w:rPr>
        <w:lastRenderedPageBreak/>
        <w:t>Recommendations:</w:t>
      </w:r>
    </w:p>
    <w:p w:rsidR="00465209" w:rsidRDefault="00C05B4C" w:rsidP="00FB2154">
      <w:pPr>
        <w:ind w:left="720"/>
        <w:rPr>
          <w:rFonts w:ascii="Garamond" w:hAnsi="Garamond"/>
          <w:sz w:val="24"/>
          <w:szCs w:val="24"/>
        </w:rPr>
      </w:pPr>
      <w:r>
        <w:rPr>
          <w:rFonts w:ascii="Garamond" w:hAnsi="Garamond"/>
          <w:sz w:val="24"/>
          <w:szCs w:val="24"/>
        </w:rPr>
        <w:t xml:space="preserve">The APPWG set the programs into three categories as with the previous prioritization process.  The Top category is recommended for continuation and consideration for added resources.  The Middle category is recommended to remain the same funding level (if possible).  </w:t>
      </w:r>
      <w:r w:rsidR="00C40F98">
        <w:rPr>
          <w:rFonts w:ascii="Garamond" w:hAnsi="Garamond"/>
          <w:sz w:val="24"/>
          <w:szCs w:val="24"/>
        </w:rPr>
        <w:t xml:space="preserve"> </w:t>
      </w:r>
      <w:r>
        <w:rPr>
          <w:rFonts w:ascii="Garamond" w:hAnsi="Garamond"/>
          <w:sz w:val="24"/>
          <w:szCs w:val="24"/>
        </w:rPr>
        <w:t xml:space="preserve">The Low category is recommended to be reviewed and improvement plans and </w:t>
      </w:r>
      <w:r w:rsidR="008605AF">
        <w:rPr>
          <w:rFonts w:ascii="Garamond" w:hAnsi="Garamond"/>
          <w:sz w:val="24"/>
          <w:szCs w:val="24"/>
        </w:rPr>
        <w:t>criteria</w:t>
      </w:r>
      <w:r>
        <w:rPr>
          <w:rFonts w:ascii="Garamond" w:hAnsi="Garamond"/>
          <w:sz w:val="24"/>
          <w:szCs w:val="24"/>
        </w:rPr>
        <w:t xml:space="preserve"> be established </w:t>
      </w:r>
      <w:r w:rsidR="008605AF">
        <w:rPr>
          <w:rFonts w:ascii="Garamond" w:hAnsi="Garamond"/>
          <w:sz w:val="24"/>
          <w:szCs w:val="24"/>
        </w:rPr>
        <w:t xml:space="preserve">if the program should be considered for continuation in its current form. </w:t>
      </w:r>
      <w:r w:rsidR="00C40F98">
        <w:rPr>
          <w:rFonts w:ascii="Garamond" w:hAnsi="Garamond"/>
          <w:sz w:val="24"/>
          <w:szCs w:val="24"/>
        </w:rPr>
        <w:t xml:space="preserve"> </w:t>
      </w:r>
    </w:p>
    <w:p w:rsidR="00FB2154" w:rsidRDefault="00465209" w:rsidP="00FB2154">
      <w:pPr>
        <w:ind w:left="720"/>
        <w:rPr>
          <w:rFonts w:ascii="Garamond" w:hAnsi="Garamond"/>
          <w:sz w:val="24"/>
          <w:szCs w:val="24"/>
        </w:rPr>
      </w:pPr>
      <w:r>
        <w:rPr>
          <w:rFonts w:ascii="Garamond" w:hAnsi="Garamond"/>
          <w:sz w:val="24"/>
          <w:szCs w:val="24"/>
        </w:rPr>
        <w:t>S</w:t>
      </w:r>
      <w:r w:rsidR="008605AF">
        <w:rPr>
          <w:rFonts w:ascii="Garamond" w:hAnsi="Garamond"/>
          <w:sz w:val="24"/>
          <w:szCs w:val="24"/>
        </w:rPr>
        <w:t>pecific</w:t>
      </w:r>
      <w:r w:rsidR="00C40F98">
        <w:rPr>
          <w:rFonts w:ascii="Garamond" w:hAnsi="Garamond"/>
          <w:sz w:val="24"/>
          <w:szCs w:val="24"/>
        </w:rPr>
        <w:t xml:space="preserve"> </w:t>
      </w:r>
      <w:r w:rsidR="008605AF">
        <w:rPr>
          <w:rFonts w:ascii="Garamond" w:hAnsi="Garamond"/>
          <w:sz w:val="24"/>
          <w:szCs w:val="24"/>
        </w:rPr>
        <w:t xml:space="preserve">and general </w:t>
      </w:r>
      <w:r w:rsidR="00176F6C">
        <w:rPr>
          <w:rFonts w:ascii="Garamond" w:hAnsi="Garamond"/>
          <w:sz w:val="24"/>
          <w:szCs w:val="24"/>
        </w:rPr>
        <w:t>recommendations</w:t>
      </w:r>
      <w:r w:rsidR="00C40F98">
        <w:rPr>
          <w:rFonts w:ascii="Garamond" w:hAnsi="Garamond"/>
          <w:sz w:val="24"/>
          <w:szCs w:val="24"/>
        </w:rPr>
        <w:t xml:space="preserve"> regarding academic programs</w:t>
      </w:r>
      <w:r w:rsidR="008605AF">
        <w:rPr>
          <w:rFonts w:ascii="Garamond" w:hAnsi="Garamond"/>
          <w:sz w:val="24"/>
          <w:szCs w:val="24"/>
        </w:rPr>
        <w:t>:</w:t>
      </w:r>
      <w:r w:rsidR="00C05B4C">
        <w:rPr>
          <w:rFonts w:ascii="Garamond" w:hAnsi="Garamond"/>
          <w:sz w:val="24"/>
          <w:szCs w:val="24"/>
        </w:rPr>
        <w:t xml:space="preserve">  </w:t>
      </w:r>
    </w:p>
    <w:p w:rsidR="00FB2154" w:rsidRPr="001A2B73" w:rsidRDefault="00FB2154" w:rsidP="00FB2154">
      <w:pPr>
        <w:ind w:left="720"/>
        <w:rPr>
          <w:rFonts w:ascii="Garamond" w:hAnsi="Garamond"/>
          <w:b/>
          <w:sz w:val="24"/>
          <w:szCs w:val="24"/>
        </w:rPr>
      </w:pPr>
      <w:r w:rsidRPr="001A2B73">
        <w:rPr>
          <w:rFonts w:ascii="Garamond" w:hAnsi="Garamond"/>
          <w:b/>
          <w:sz w:val="24"/>
          <w:szCs w:val="24"/>
        </w:rPr>
        <w:t>Specific recommendations:</w:t>
      </w:r>
    </w:p>
    <w:p w:rsidR="00613A8C" w:rsidRPr="00FB2154" w:rsidRDefault="00613A8C" w:rsidP="00FB2154">
      <w:pPr>
        <w:pStyle w:val="ListParagraph"/>
        <w:numPr>
          <w:ilvl w:val="0"/>
          <w:numId w:val="10"/>
        </w:numPr>
        <w:rPr>
          <w:rFonts w:ascii="Garamond" w:hAnsi="Garamond"/>
          <w:sz w:val="24"/>
          <w:szCs w:val="24"/>
        </w:rPr>
      </w:pPr>
      <w:r w:rsidRPr="00FB2154">
        <w:rPr>
          <w:rFonts w:ascii="Garamond" w:hAnsi="Garamond"/>
          <w:sz w:val="24"/>
          <w:szCs w:val="24"/>
        </w:rPr>
        <w:t>Consideration given to combining COA Bookkeeping and Secretarial Sciences as a single program.  There is duplication in courses.  It was noted in several reviews that students from the different programs were combined in the same class to allow sufficient numbers to conduct the class.</w:t>
      </w:r>
    </w:p>
    <w:p w:rsidR="00FB2154" w:rsidRPr="00FB2154" w:rsidRDefault="00613A8C" w:rsidP="00EF5909">
      <w:pPr>
        <w:pStyle w:val="ListParagraph"/>
        <w:numPr>
          <w:ilvl w:val="0"/>
          <w:numId w:val="9"/>
        </w:numPr>
        <w:rPr>
          <w:rFonts w:ascii="Garamond" w:hAnsi="Garamond"/>
          <w:b/>
          <w:i/>
          <w:sz w:val="24"/>
          <w:szCs w:val="24"/>
        </w:rPr>
      </w:pPr>
      <w:r w:rsidRPr="00FB2154">
        <w:rPr>
          <w:rFonts w:ascii="Garamond" w:hAnsi="Garamond"/>
          <w:sz w:val="24"/>
          <w:szCs w:val="24"/>
        </w:rPr>
        <w:t>Consideration given to combining AA Liberal Arts and AA LA/HCOP.  The courses and requirements are similar.  With the startup of the Public Health programs, students now have the opportunity to select a major in their preferred health careers.</w:t>
      </w:r>
    </w:p>
    <w:p w:rsidR="00FB2154" w:rsidRPr="001A2B73" w:rsidRDefault="00FB2154" w:rsidP="00FB2154">
      <w:pPr>
        <w:ind w:left="720"/>
        <w:rPr>
          <w:rFonts w:ascii="Garamond" w:hAnsi="Garamond"/>
          <w:b/>
          <w:sz w:val="24"/>
          <w:szCs w:val="24"/>
        </w:rPr>
      </w:pPr>
      <w:r w:rsidRPr="001A2B73">
        <w:rPr>
          <w:rFonts w:ascii="Garamond" w:hAnsi="Garamond"/>
          <w:b/>
          <w:sz w:val="24"/>
          <w:szCs w:val="24"/>
        </w:rPr>
        <w:t>General recommendations:</w:t>
      </w:r>
    </w:p>
    <w:p w:rsidR="006E05A5" w:rsidRPr="00FB2154" w:rsidRDefault="00613A8C" w:rsidP="00EF5909">
      <w:pPr>
        <w:pStyle w:val="ListParagraph"/>
        <w:numPr>
          <w:ilvl w:val="0"/>
          <w:numId w:val="9"/>
        </w:numPr>
        <w:rPr>
          <w:rFonts w:ascii="Garamond" w:hAnsi="Garamond"/>
          <w:b/>
          <w:i/>
          <w:sz w:val="24"/>
          <w:szCs w:val="24"/>
        </w:rPr>
      </w:pPr>
      <w:r w:rsidRPr="00FB2154">
        <w:rPr>
          <w:rFonts w:ascii="Garamond" w:hAnsi="Garamond"/>
          <w:sz w:val="24"/>
          <w:szCs w:val="24"/>
        </w:rPr>
        <w:t xml:space="preserve">Consideration given to a rethinking and redesign of COA programs.  The COA programs were designed quite a few years ago and student and community needs have changed.  Some COA programs indicated students were not taking the COA out of interest, but rather because it might be the </w:t>
      </w:r>
      <w:r w:rsidR="006E05A5" w:rsidRPr="00FB2154">
        <w:rPr>
          <w:rFonts w:ascii="Garamond" w:hAnsi="Garamond"/>
          <w:sz w:val="24"/>
          <w:szCs w:val="24"/>
        </w:rPr>
        <w:t xml:space="preserve">only program for them to take or available.  Students appeared to desire a program that would lead to entrance into a degree program. </w:t>
      </w:r>
    </w:p>
    <w:p w:rsidR="006E05A5" w:rsidRDefault="006E05A5" w:rsidP="00D76DE8">
      <w:pPr>
        <w:pStyle w:val="ListParagraph"/>
        <w:numPr>
          <w:ilvl w:val="0"/>
          <w:numId w:val="9"/>
        </w:numPr>
        <w:rPr>
          <w:rFonts w:ascii="Garamond" w:hAnsi="Garamond"/>
          <w:b/>
          <w:i/>
          <w:sz w:val="24"/>
          <w:szCs w:val="24"/>
        </w:rPr>
      </w:pPr>
      <w:r w:rsidRPr="00176F6C">
        <w:rPr>
          <w:rFonts w:ascii="Garamond" w:hAnsi="Garamond"/>
          <w:sz w:val="24"/>
          <w:szCs w:val="24"/>
        </w:rPr>
        <w:t xml:space="preserve">Consideration given to rethinking what is a terminal degree program and what </w:t>
      </w:r>
      <w:r w:rsidR="00465209">
        <w:rPr>
          <w:rFonts w:ascii="Garamond" w:hAnsi="Garamond"/>
          <w:sz w:val="24"/>
          <w:szCs w:val="24"/>
        </w:rPr>
        <w:t>is a</w:t>
      </w:r>
      <w:r w:rsidRPr="00176F6C">
        <w:rPr>
          <w:rFonts w:ascii="Garamond" w:hAnsi="Garamond"/>
          <w:sz w:val="24"/>
          <w:szCs w:val="24"/>
        </w:rPr>
        <w:t xml:space="preserve"> tra</w:t>
      </w:r>
      <w:r w:rsidR="00465209">
        <w:rPr>
          <w:rFonts w:ascii="Garamond" w:hAnsi="Garamond"/>
          <w:sz w:val="24"/>
          <w:szCs w:val="24"/>
        </w:rPr>
        <w:t>nsfer orientated degree program</w:t>
      </w:r>
      <w:r w:rsidRPr="00176F6C">
        <w:rPr>
          <w:rFonts w:ascii="Garamond" w:hAnsi="Garamond"/>
          <w:sz w:val="24"/>
          <w:szCs w:val="24"/>
        </w:rPr>
        <w:t xml:space="preserve">. </w:t>
      </w:r>
      <w:r w:rsidR="00517235">
        <w:rPr>
          <w:rFonts w:ascii="Garamond" w:hAnsi="Garamond"/>
          <w:sz w:val="24"/>
          <w:szCs w:val="24"/>
        </w:rPr>
        <w:t xml:space="preserve"> </w:t>
      </w:r>
      <w:r w:rsidR="000C57B6">
        <w:rPr>
          <w:rFonts w:ascii="Garamond" w:hAnsi="Garamond"/>
          <w:sz w:val="24"/>
          <w:szCs w:val="24"/>
        </w:rPr>
        <w:t xml:space="preserve">As with the certificate programs an important question to ask is the design of the degree programs still meeting the needs of students and the </w:t>
      </w:r>
      <w:r w:rsidR="00523494">
        <w:rPr>
          <w:rFonts w:ascii="Garamond" w:hAnsi="Garamond"/>
          <w:sz w:val="24"/>
          <w:szCs w:val="24"/>
        </w:rPr>
        <w:t>nation?</w:t>
      </w:r>
      <w:r w:rsidR="000C57B6">
        <w:rPr>
          <w:rFonts w:ascii="Garamond" w:hAnsi="Garamond"/>
          <w:sz w:val="24"/>
          <w:szCs w:val="24"/>
        </w:rPr>
        <w:t xml:space="preserve"> </w:t>
      </w:r>
      <w:r w:rsidR="00523494">
        <w:rPr>
          <w:rFonts w:ascii="Garamond" w:hAnsi="Garamond"/>
          <w:sz w:val="24"/>
          <w:szCs w:val="24"/>
        </w:rPr>
        <w:t xml:space="preserve"> No evidence was found in the program reviews addressing the issu</w:t>
      </w:r>
      <w:r w:rsidR="00EC7072">
        <w:rPr>
          <w:rFonts w:ascii="Garamond" w:hAnsi="Garamond"/>
          <w:sz w:val="24"/>
          <w:szCs w:val="24"/>
        </w:rPr>
        <w:t xml:space="preserve">e of relevancy of the programs and if the programs are providing a career path for students. </w:t>
      </w:r>
    </w:p>
    <w:p w:rsidR="00176F6C" w:rsidRPr="00176F6C" w:rsidRDefault="004C073D" w:rsidP="00D76DE8">
      <w:pPr>
        <w:pStyle w:val="ListParagraph"/>
        <w:numPr>
          <w:ilvl w:val="0"/>
          <w:numId w:val="9"/>
        </w:numPr>
        <w:rPr>
          <w:rFonts w:ascii="Garamond" w:hAnsi="Garamond"/>
          <w:b/>
          <w:i/>
          <w:sz w:val="24"/>
          <w:szCs w:val="24"/>
        </w:rPr>
      </w:pPr>
      <w:r>
        <w:rPr>
          <w:rFonts w:ascii="Garamond" w:hAnsi="Garamond"/>
          <w:sz w:val="24"/>
          <w:szCs w:val="24"/>
        </w:rPr>
        <w:t>Consideration</w:t>
      </w:r>
      <w:r w:rsidR="00176F6C">
        <w:rPr>
          <w:rFonts w:ascii="Garamond" w:hAnsi="Garamond"/>
          <w:sz w:val="24"/>
          <w:szCs w:val="24"/>
        </w:rPr>
        <w:t xml:space="preserve"> given to establishing ratios or high</w:t>
      </w:r>
      <w:r>
        <w:rPr>
          <w:rFonts w:ascii="Garamond" w:hAnsi="Garamond"/>
          <w:sz w:val="24"/>
          <w:szCs w:val="24"/>
        </w:rPr>
        <w:t xml:space="preserve"> cost programs that will allow</w:t>
      </w:r>
      <w:r w:rsidR="00176F6C">
        <w:rPr>
          <w:rFonts w:ascii="Garamond" w:hAnsi="Garamond"/>
          <w:sz w:val="24"/>
          <w:szCs w:val="24"/>
        </w:rPr>
        <w:t xml:space="preserve"> weighted comparisons. It was noted that there is variation in the cost per program.  While some programs (CTE, science, etc.) are expected to cost more per student due to capped class size, laboratories, materials, etc., currently there are no established ratios for the different types of programs. </w:t>
      </w:r>
    </w:p>
    <w:p w:rsidR="00A0646A" w:rsidRDefault="00A0646A" w:rsidP="00B217B9">
      <w:pPr>
        <w:rPr>
          <w:rFonts w:ascii="Garamond" w:hAnsi="Garamond"/>
          <w:b/>
          <w:i/>
          <w:sz w:val="24"/>
          <w:szCs w:val="24"/>
        </w:rPr>
      </w:pPr>
    </w:p>
    <w:p w:rsidR="00D12B2B" w:rsidRPr="00B217B9" w:rsidRDefault="00D12B2B" w:rsidP="00B217B9">
      <w:pPr>
        <w:rPr>
          <w:rFonts w:ascii="Garamond" w:hAnsi="Garamond"/>
          <w:b/>
          <w:i/>
          <w:sz w:val="24"/>
          <w:szCs w:val="24"/>
        </w:rPr>
      </w:pPr>
      <w:r w:rsidRPr="00B217B9">
        <w:rPr>
          <w:rFonts w:ascii="Garamond" w:hAnsi="Garamond"/>
          <w:b/>
          <w:i/>
          <w:sz w:val="24"/>
          <w:szCs w:val="24"/>
        </w:rPr>
        <w:lastRenderedPageBreak/>
        <w:t>Process:</w:t>
      </w:r>
    </w:p>
    <w:p w:rsidR="00D12B2B" w:rsidRDefault="00D12B2B" w:rsidP="00A24059">
      <w:pPr>
        <w:ind w:left="720"/>
        <w:rPr>
          <w:rFonts w:ascii="Garamond" w:hAnsi="Garamond"/>
          <w:b/>
          <w:i/>
          <w:sz w:val="24"/>
          <w:szCs w:val="24"/>
        </w:rPr>
      </w:pPr>
      <w:r w:rsidRPr="006650BE">
        <w:rPr>
          <w:rFonts w:ascii="Garamond" w:hAnsi="Garamond"/>
          <w:b/>
          <w:i/>
          <w:sz w:val="24"/>
          <w:szCs w:val="24"/>
        </w:rPr>
        <w:t>Findings:</w:t>
      </w:r>
    </w:p>
    <w:p w:rsidR="00B217B9" w:rsidRDefault="00B217B9" w:rsidP="00A24059">
      <w:pPr>
        <w:ind w:left="720"/>
        <w:rPr>
          <w:rFonts w:ascii="Garamond" w:hAnsi="Garamond"/>
          <w:sz w:val="24"/>
          <w:szCs w:val="24"/>
        </w:rPr>
      </w:pPr>
      <w:r>
        <w:rPr>
          <w:rFonts w:ascii="Garamond" w:hAnsi="Garamond"/>
          <w:sz w:val="24"/>
          <w:szCs w:val="24"/>
        </w:rPr>
        <w:t>Strengths:</w:t>
      </w:r>
    </w:p>
    <w:p w:rsidR="00B217B9" w:rsidRDefault="00B217B9" w:rsidP="00B217B9">
      <w:pPr>
        <w:pStyle w:val="ListParagraph"/>
        <w:numPr>
          <w:ilvl w:val="0"/>
          <w:numId w:val="11"/>
        </w:numPr>
        <w:rPr>
          <w:rFonts w:ascii="Garamond" w:hAnsi="Garamond"/>
          <w:sz w:val="24"/>
          <w:szCs w:val="24"/>
        </w:rPr>
      </w:pPr>
      <w:r>
        <w:rPr>
          <w:rFonts w:ascii="Garamond" w:hAnsi="Garamond"/>
          <w:sz w:val="24"/>
          <w:szCs w:val="24"/>
        </w:rPr>
        <w:t>Program reviews are made available.</w:t>
      </w:r>
    </w:p>
    <w:p w:rsidR="00B217B9" w:rsidRDefault="00B217B9" w:rsidP="00B217B9">
      <w:pPr>
        <w:pStyle w:val="ListParagraph"/>
        <w:numPr>
          <w:ilvl w:val="0"/>
          <w:numId w:val="11"/>
        </w:numPr>
        <w:rPr>
          <w:rFonts w:ascii="Garamond" w:hAnsi="Garamond"/>
          <w:sz w:val="24"/>
          <w:szCs w:val="24"/>
        </w:rPr>
      </w:pPr>
      <w:r>
        <w:rPr>
          <w:rFonts w:ascii="Garamond" w:hAnsi="Garamond"/>
          <w:sz w:val="24"/>
          <w:szCs w:val="24"/>
        </w:rPr>
        <w:t>Comparison data with other programs was made available in certain PRs.</w:t>
      </w:r>
    </w:p>
    <w:p w:rsidR="00B217B9" w:rsidRDefault="00B217B9" w:rsidP="00B217B9">
      <w:pPr>
        <w:pStyle w:val="ListParagraph"/>
        <w:numPr>
          <w:ilvl w:val="0"/>
          <w:numId w:val="11"/>
        </w:numPr>
        <w:rPr>
          <w:rFonts w:ascii="Garamond" w:hAnsi="Garamond"/>
          <w:sz w:val="24"/>
          <w:szCs w:val="24"/>
        </w:rPr>
      </w:pPr>
      <w:r>
        <w:rPr>
          <w:rFonts w:ascii="Garamond" w:hAnsi="Garamond"/>
          <w:sz w:val="24"/>
          <w:szCs w:val="24"/>
        </w:rPr>
        <w:t xml:space="preserve">Use of program data sheets allowed accurate data. </w:t>
      </w:r>
    </w:p>
    <w:p w:rsidR="00B217B9" w:rsidRDefault="00B217B9" w:rsidP="00B217B9">
      <w:pPr>
        <w:pStyle w:val="ListParagraph"/>
        <w:numPr>
          <w:ilvl w:val="0"/>
          <w:numId w:val="11"/>
        </w:numPr>
        <w:rPr>
          <w:rFonts w:ascii="Garamond" w:hAnsi="Garamond"/>
          <w:sz w:val="24"/>
          <w:szCs w:val="24"/>
        </w:rPr>
      </w:pPr>
      <w:r>
        <w:rPr>
          <w:rFonts w:ascii="Garamond" w:hAnsi="Garamond"/>
          <w:sz w:val="24"/>
          <w:szCs w:val="24"/>
        </w:rPr>
        <w:t>Some program reviews provided data on course student outcomes.</w:t>
      </w:r>
    </w:p>
    <w:p w:rsidR="001C105D" w:rsidRPr="001C105D" w:rsidRDefault="00D12B2B" w:rsidP="001C105D">
      <w:pPr>
        <w:tabs>
          <w:tab w:val="left" w:pos="2958"/>
          <w:tab w:val="left" w:pos="3123"/>
          <w:tab w:val="left" w:pos="3345"/>
          <w:tab w:val="left" w:pos="3585"/>
        </w:tabs>
        <w:ind w:left="720"/>
        <w:rPr>
          <w:rFonts w:ascii="Garamond" w:hAnsi="Garamond"/>
          <w:b/>
          <w:sz w:val="24"/>
          <w:szCs w:val="24"/>
        </w:rPr>
      </w:pPr>
      <w:r w:rsidRPr="006650BE">
        <w:rPr>
          <w:rFonts w:ascii="Garamond" w:hAnsi="Garamond"/>
          <w:b/>
          <w:i/>
          <w:sz w:val="24"/>
          <w:szCs w:val="24"/>
        </w:rPr>
        <w:t>Recommendations:</w:t>
      </w:r>
    </w:p>
    <w:p w:rsidR="00B90369" w:rsidRDefault="00462B54" w:rsidP="00681A35">
      <w:pPr>
        <w:pStyle w:val="ListParagraph"/>
        <w:numPr>
          <w:ilvl w:val="0"/>
          <w:numId w:val="20"/>
        </w:numPr>
        <w:tabs>
          <w:tab w:val="left" w:pos="2958"/>
          <w:tab w:val="left" w:pos="3123"/>
          <w:tab w:val="left" w:pos="3345"/>
          <w:tab w:val="left" w:pos="3585"/>
        </w:tabs>
        <w:rPr>
          <w:rFonts w:ascii="Garamond" w:hAnsi="Garamond"/>
          <w:sz w:val="24"/>
          <w:szCs w:val="24"/>
        </w:rPr>
      </w:pPr>
      <w:r w:rsidRPr="00B90369">
        <w:rPr>
          <w:rFonts w:ascii="Garamond" w:hAnsi="Garamond"/>
          <w:sz w:val="24"/>
          <w:szCs w:val="24"/>
        </w:rPr>
        <w:t xml:space="preserve">Program reviews </w:t>
      </w:r>
      <w:r w:rsidR="00B90369">
        <w:rPr>
          <w:rFonts w:ascii="Garamond" w:hAnsi="Garamond"/>
          <w:sz w:val="24"/>
          <w:szCs w:val="24"/>
        </w:rPr>
        <w:t>should tell a story about how the program is performing</w:t>
      </w:r>
      <w:r w:rsidRPr="00B90369">
        <w:rPr>
          <w:rFonts w:ascii="Garamond" w:hAnsi="Garamond"/>
          <w:sz w:val="24"/>
          <w:szCs w:val="24"/>
        </w:rPr>
        <w:t xml:space="preserve">.  </w:t>
      </w:r>
      <w:r w:rsidR="001C105D" w:rsidRPr="00B90369">
        <w:rPr>
          <w:rFonts w:ascii="Garamond" w:hAnsi="Garamond"/>
          <w:sz w:val="24"/>
          <w:szCs w:val="24"/>
        </w:rPr>
        <w:t>Data was provided in the program reviews, but often lacked analysis.  This was practically evident in the data on student learning outcomes.</w:t>
      </w:r>
      <w:r w:rsidR="000454E6" w:rsidRPr="00B90369">
        <w:rPr>
          <w:rFonts w:ascii="Garamond" w:hAnsi="Garamond"/>
          <w:sz w:val="24"/>
          <w:szCs w:val="24"/>
        </w:rPr>
        <w:t xml:space="preserve">  A number of the program reviews did not have any information on student learning outcomes. </w:t>
      </w:r>
    </w:p>
    <w:p w:rsidR="00B90369" w:rsidRDefault="00B90369" w:rsidP="00681A35">
      <w:pPr>
        <w:pStyle w:val="ListParagraph"/>
        <w:numPr>
          <w:ilvl w:val="0"/>
          <w:numId w:val="20"/>
        </w:numPr>
        <w:tabs>
          <w:tab w:val="left" w:pos="2958"/>
          <w:tab w:val="left" w:pos="3123"/>
          <w:tab w:val="left" w:pos="3345"/>
          <w:tab w:val="left" w:pos="3585"/>
        </w:tabs>
        <w:rPr>
          <w:rFonts w:ascii="Garamond" w:hAnsi="Garamond"/>
          <w:sz w:val="24"/>
          <w:szCs w:val="24"/>
        </w:rPr>
      </w:pPr>
      <w:r>
        <w:rPr>
          <w:rFonts w:ascii="Garamond" w:hAnsi="Garamond"/>
          <w:sz w:val="24"/>
          <w:szCs w:val="24"/>
        </w:rPr>
        <w:t xml:space="preserve">Program reviews need to address Institutional, Program and Course Student Learning Outcomes with data and analysis.  </w:t>
      </w:r>
    </w:p>
    <w:p w:rsidR="00A44900" w:rsidRPr="00B90369" w:rsidRDefault="00462B54" w:rsidP="00681A35">
      <w:pPr>
        <w:pStyle w:val="ListParagraph"/>
        <w:numPr>
          <w:ilvl w:val="0"/>
          <w:numId w:val="20"/>
        </w:numPr>
        <w:tabs>
          <w:tab w:val="left" w:pos="2958"/>
          <w:tab w:val="left" w:pos="3123"/>
          <w:tab w:val="left" w:pos="3345"/>
          <w:tab w:val="left" w:pos="3585"/>
        </w:tabs>
        <w:rPr>
          <w:rFonts w:ascii="Garamond" w:hAnsi="Garamond"/>
          <w:sz w:val="24"/>
          <w:szCs w:val="24"/>
        </w:rPr>
      </w:pPr>
      <w:r w:rsidRPr="00B90369">
        <w:rPr>
          <w:rFonts w:ascii="Garamond" w:hAnsi="Garamond"/>
          <w:sz w:val="24"/>
          <w:szCs w:val="24"/>
        </w:rPr>
        <w:t xml:space="preserve">Program reviews need to include a summary of prior </w:t>
      </w:r>
      <w:r w:rsidR="00347C49" w:rsidRPr="00B90369">
        <w:rPr>
          <w:rFonts w:ascii="Garamond" w:hAnsi="Garamond"/>
          <w:sz w:val="24"/>
          <w:szCs w:val="24"/>
        </w:rPr>
        <w:t xml:space="preserve">program review recommendations, </w:t>
      </w:r>
      <w:r w:rsidRPr="00B90369">
        <w:rPr>
          <w:rFonts w:ascii="Garamond" w:hAnsi="Garamond"/>
          <w:sz w:val="24"/>
          <w:szCs w:val="24"/>
        </w:rPr>
        <w:t>actions taken to improve learning</w:t>
      </w:r>
      <w:r w:rsidR="00347C49" w:rsidRPr="00B90369">
        <w:rPr>
          <w:rFonts w:ascii="Garamond" w:hAnsi="Garamond"/>
          <w:sz w:val="24"/>
          <w:szCs w:val="24"/>
        </w:rPr>
        <w:t xml:space="preserve"> and the impact of those actions on student learning</w:t>
      </w:r>
      <w:r w:rsidRPr="00B90369">
        <w:rPr>
          <w:rFonts w:ascii="Garamond" w:hAnsi="Garamond"/>
          <w:sz w:val="24"/>
          <w:szCs w:val="24"/>
        </w:rPr>
        <w:t xml:space="preserve">.  </w:t>
      </w:r>
      <w:r w:rsidR="00921E2F" w:rsidRPr="00B90369">
        <w:rPr>
          <w:rFonts w:ascii="Garamond" w:hAnsi="Garamond"/>
          <w:sz w:val="24"/>
          <w:szCs w:val="24"/>
        </w:rPr>
        <w:t>There were l</w:t>
      </w:r>
      <w:r w:rsidR="001C105D" w:rsidRPr="00B90369">
        <w:rPr>
          <w:rFonts w:ascii="Garamond" w:hAnsi="Garamond"/>
          <w:sz w:val="24"/>
          <w:szCs w:val="24"/>
        </w:rPr>
        <w:t>imited</w:t>
      </w:r>
      <w:r w:rsidR="00347C49" w:rsidRPr="00B90369">
        <w:rPr>
          <w:rFonts w:ascii="Garamond" w:hAnsi="Garamond"/>
          <w:sz w:val="24"/>
          <w:szCs w:val="24"/>
        </w:rPr>
        <w:t xml:space="preserve"> linkages between the 2014</w:t>
      </w:r>
      <w:r w:rsidR="001C105D" w:rsidRPr="00B90369">
        <w:rPr>
          <w:rFonts w:ascii="Garamond" w:hAnsi="Garamond"/>
          <w:sz w:val="24"/>
          <w:szCs w:val="24"/>
        </w:rPr>
        <w:t xml:space="preserve"> program review and the recommendations in the </w:t>
      </w:r>
      <w:r w:rsidR="00347C49" w:rsidRPr="00B90369">
        <w:rPr>
          <w:rFonts w:ascii="Garamond" w:hAnsi="Garamond"/>
          <w:sz w:val="24"/>
          <w:szCs w:val="24"/>
        </w:rPr>
        <w:t xml:space="preserve">2012 </w:t>
      </w:r>
      <w:r w:rsidR="001C105D" w:rsidRPr="00B90369">
        <w:rPr>
          <w:rFonts w:ascii="Garamond" w:hAnsi="Garamond"/>
          <w:sz w:val="24"/>
          <w:szCs w:val="24"/>
        </w:rPr>
        <w:t xml:space="preserve">program review. </w:t>
      </w:r>
      <w:r w:rsidR="00921E2F" w:rsidRPr="00B90369">
        <w:rPr>
          <w:rFonts w:ascii="Garamond" w:hAnsi="Garamond"/>
          <w:sz w:val="24"/>
          <w:szCs w:val="24"/>
        </w:rPr>
        <w:t xml:space="preserve">  It was also noted that a number of 2014 recommendations were similar to those included in the 2012 program reviews.  </w:t>
      </w:r>
    </w:p>
    <w:p w:rsidR="00A44900" w:rsidRDefault="00A44900" w:rsidP="000F4A3E">
      <w:pPr>
        <w:pStyle w:val="ListParagraph"/>
        <w:numPr>
          <w:ilvl w:val="0"/>
          <w:numId w:val="20"/>
        </w:numPr>
        <w:tabs>
          <w:tab w:val="left" w:pos="2958"/>
          <w:tab w:val="left" w:pos="3123"/>
          <w:tab w:val="left" w:pos="3345"/>
          <w:tab w:val="left" w:pos="3585"/>
        </w:tabs>
        <w:rPr>
          <w:rFonts w:ascii="Garamond" w:hAnsi="Garamond"/>
          <w:sz w:val="24"/>
          <w:szCs w:val="24"/>
        </w:rPr>
      </w:pPr>
      <w:r>
        <w:rPr>
          <w:rFonts w:ascii="Garamond" w:hAnsi="Garamond"/>
          <w:sz w:val="24"/>
          <w:szCs w:val="24"/>
        </w:rPr>
        <w:t xml:space="preserve">Recommendations should be linked to the findings in the </w:t>
      </w:r>
      <w:r w:rsidR="0008326F">
        <w:rPr>
          <w:rFonts w:ascii="Garamond" w:hAnsi="Garamond"/>
          <w:sz w:val="24"/>
          <w:szCs w:val="24"/>
        </w:rPr>
        <w:t>program reviews.  There appears</w:t>
      </w:r>
      <w:r>
        <w:rPr>
          <w:rFonts w:ascii="Garamond" w:hAnsi="Garamond"/>
          <w:sz w:val="24"/>
          <w:szCs w:val="24"/>
        </w:rPr>
        <w:t xml:space="preserve"> to be </w:t>
      </w:r>
      <w:proofErr w:type="gramStart"/>
      <w:r>
        <w:rPr>
          <w:rFonts w:ascii="Garamond" w:hAnsi="Garamond"/>
          <w:sz w:val="24"/>
          <w:szCs w:val="24"/>
        </w:rPr>
        <w:t>a disconnect</w:t>
      </w:r>
      <w:proofErr w:type="gramEnd"/>
      <w:r>
        <w:rPr>
          <w:rFonts w:ascii="Garamond" w:hAnsi="Garamond"/>
          <w:sz w:val="24"/>
          <w:szCs w:val="24"/>
        </w:rPr>
        <w:t xml:space="preserve"> between many recommendations and information included in the body of the program review.</w:t>
      </w:r>
    </w:p>
    <w:p w:rsidR="001C105D" w:rsidRPr="00A44900" w:rsidRDefault="00921E2F" w:rsidP="000F4A3E">
      <w:pPr>
        <w:pStyle w:val="ListParagraph"/>
        <w:numPr>
          <w:ilvl w:val="0"/>
          <w:numId w:val="20"/>
        </w:numPr>
        <w:tabs>
          <w:tab w:val="left" w:pos="2958"/>
          <w:tab w:val="left" w:pos="3123"/>
          <w:tab w:val="left" w:pos="3345"/>
          <w:tab w:val="left" w:pos="3585"/>
        </w:tabs>
        <w:rPr>
          <w:rFonts w:ascii="Garamond" w:hAnsi="Garamond"/>
          <w:sz w:val="24"/>
          <w:szCs w:val="24"/>
        </w:rPr>
      </w:pPr>
      <w:r w:rsidRPr="00A44900">
        <w:rPr>
          <w:rFonts w:ascii="Garamond" w:hAnsi="Garamond"/>
          <w:sz w:val="24"/>
          <w:szCs w:val="24"/>
        </w:rPr>
        <w:t>The recommendations in the program review should be phrased in terms of student learning.  The</w:t>
      </w:r>
      <w:r w:rsidR="001C105D" w:rsidRPr="00A44900">
        <w:rPr>
          <w:rFonts w:ascii="Garamond" w:hAnsi="Garamond"/>
          <w:sz w:val="24"/>
          <w:szCs w:val="24"/>
        </w:rPr>
        <w:t xml:space="preserve"> recommendations in </w:t>
      </w:r>
      <w:r w:rsidR="00166F66" w:rsidRPr="00A44900">
        <w:rPr>
          <w:rFonts w:ascii="Garamond" w:hAnsi="Garamond"/>
          <w:sz w:val="24"/>
          <w:szCs w:val="24"/>
        </w:rPr>
        <w:t xml:space="preserve">many of </w:t>
      </w:r>
      <w:r w:rsidR="001C105D" w:rsidRPr="00A44900">
        <w:rPr>
          <w:rFonts w:ascii="Garamond" w:hAnsi="Garamond"/>
          <w:sz w:val="24"/>
          <w:szCs w:val="24"/>
        </w:rPr>
        <w:t xml:space="preserve">the </w:t>
      </w:r>
      <w:r w:rsidRPr="00A44900">
        <w:rPr>
          <w:rFonts w:ascii="Garamond" w:hAnsi="Garamond"/>
          <w:sz w:val="24"/>
          <w:szCs w:val="24"/>
        </w:rPr>
        <w:t xml:space="preserve">2014 </w:t>
      </w:r>
      <w:r w:rsidR="001C105D" w:rsidRPr="00A44900">
        <w:rPr>
          <w:rFonts w:ascii="Garamond" w:hAnsi="Garamond"/>
          <w:sz w:val="24"/>
          <w:szCs w:val="24"/>
        </w:rPr>
        <w:t>program review</w:t>
      </w:r>
      <w:r w:rsidR="00166F66" w:rsidRPr="00A44900">
        <w:rPr>
          <w:rFonts w:ascii="Garamond" w:hAnsi="Garamond"/>
          <w:sz w:val="24"/>
          <w:szCs w:val="24"/>
        </w:rPr>
        <w:t>s</w:t>
      </w:r>
      <w:r w:rsidR="001C105D" w:rsidRPr="00A44900">
        <w:rPr>
          <w:rFonts w:ascii="Garamond" w:hAnsi="Garamond"/>
          <w:sz w:val="24"/>
          <w:szCs w:val="24"/>
        </w:rPr>
        <w:t xml:space="preserve"> are </w:t>
      </w:r>
      <w:r w:rsidR="002D0E62" w:rsidRPr="00A44900">
        <w:rPr>
          <w:rFonts w:ascii="Garamond" w:hAnsi="Garamond"/>
          <w:sz w:val="24"/>
          <w:szCs w:val="24"/>
        </w:rPr>
        <w:t xml:space="preserve">not </w:t>
      </w:r>
      <w:r w:rsidR="001C105D" w:rsidRPr="00A44900">
        <w:rPr>
          <w:rFonts w:ascii="Garamond" w:hAnsi="Garamond"/>
          <w:sz w:val="24"/>
          <w:szCs w:val="24"/>
        </w:rPr>
        <w:t>phrased in terms of student learning.</w:t>
      </w:r>
    </w:p>
    <w:p w:rsidR="002D0E62" w:rsidRDefault="002D0E62" w:rsidP="001C105D">
      <w:pPr>
        <w:pStyle w:val="ListParagraph"/>
        <w:numPr>
          <w:ilvl w:val="0"/>
          <w:numId w:val="20"/>
        </w:numPr>
        <w:tabs>
          <w:tab w:val="left" w:pos="2958"/>
          <w:tab w:val="left" w:pos="3123"/>
          <w:tab w:val="left" w:pos="3345"/>
          <w:tab w:val="left" w:pos="3585"/>
        </w:tabs>
        <w:rPr>
          <w:rFonts w:ascii="Garamond" w:hAnsi="Garamond"/>
          <w:sz w:val="24"/>
          <w:szCs w:val="24"/>
        </w:rPr>
      </w:pPr>
      <w:r>
        <w:rPr>
          <w:rFonts w:ascii="Garamond" w:hAnsi="Garamond"/>
          <w:sz w:val="24"/>
          <w:szCs w:val="24"/>
        </w:rPr>
        <w:t xml:space="preserve">Program data sheets should be used in conjunction with the institutional available information and data. This approach will allow comparison between </w:t>
      </w:r>
      <w:r w:rsidR="008E3875">
        <w:rPr>
          <w:rFonts w:ascii="Garamond" w:hAnsi="Garamond"/>
          <w:sz w:val="24"/>
          <w:szCs w:val="24"/>
        </w:rPr>
        <w:t>programs</w:t>
      </w:r>
      <w:r>
        <w:rPr>
          <w:rFonts w:ascii="Garamond" w:hAnsi="Garamond"/>
          <w:sz w:val="24"/>
          <w:szCs w:val="24"/>
        </w:rPr>
        <w:t xml:space="preserve">. </w:t>
      </w:r>
    </w:p>
    <w:p w:rsidR="00965461" w:rsidRPr="00B3549A" w:rsidRDefault="00644C8B" w:rsidP="009703CC">
      <w:pPr>
        <w:pStyle w:val="ListParagraph"/>
        <w:numPr>
          <w:ilvl w:val="0"/>
          <w:numId w:val="20"/>
        </w:numPr>
        <w:tabs>
          <w:tab w:val="left" w:pos="2958"/>
          <w:tab w:val="left" w:pos="3123"/>
          <w:tab w:val="left" w:pos="3345"/>
          <w:tab w:val="left" w:pos="3585"/>
        </w:tabs>
        <w:rPr>
          <w:rFonts w:ascii="Garamond" w:hAnsi="Garamond"/>
          <w:b/>
          <w:sz w:val="24"/>
          <w:szCs w:val="24"/>
        </w:rPr>
      </w:pPr>
      <w:r>
        <w:rPr>
          <w:rFonts w:ascii="Garamond" w:hAnsi="Garamond"/>
          <w:sz w:val="24"/>
          <w:szCs w:val="24"/>
        </w:rPr>
        <w:t>Programs need to be aware that the quality of the program reviews greatly affect</w:t>
      </w:r>
      <w:r w:rsidR="00E9172F">
        <w:rPr>
          <w:rFonts w:ascii="Garamond" w:hAnsi="Garamond"/>
          <w:sz w:val="24"/>
          <w:szCs w:val="24"/>
        </w:rPr>
        <w:t>ed</w:t>
      </w:r>
      <w:r>
        <w:rPr>
          <w:rFonts w:ascii="Garamond" w:hAnsi="Garamond"/>
          <w:sz w:val="24"/>
          <w:szCs w:val="24"/>
        </w:rPr>
        <w:t xml:space="preserve"> the prioritization rating.  </w:t>
      </w:r>
      <w:r w:rsidR="002D0E62" w:rsidRPr="00B3549A">
        <w:rPr>
          <w:rFonts w:ascii="Garamond" w:hAnsi="Garamond"/>
          <w:sz w:val="24"/>
          <w:szCs w:val="24"/>
        </w:rPr>
        <w:t xml:space="preserve">It appeared that a number of program reviews were assigned late to the developer of the program review raising </w:t>
      </w:r>
      <w:r w:rsidR="00B3549A" w:rsidRPr="00B3549A">
        <w:rPr>
          <w:rFonts w:ascii="Garamond" w:hAnsi="Garamond"/>
          <w:sz w:val="24"/>
          <w:szCs w:val="24"/>
        </w:rPr>
        <w:t xml:space="preserve">the issue was there a process to implement the recommendation in the previous program review. </w:t>
      </w:r>
    </w:p>
    <w:p w:rsidR="00B3549A" w:rsidRPr="00B00CA7" w:rsidRDefault="002F6760" w:rsidP="009703CC">
      <w:pPr>
        <w:pStyle w:val="ListParagraph"/>
        <w:numPr>
          <w:ilvl w:val="0"/>
          <w:numId w:val="20"/>
        </w:numPr>
        <w:tabs>
          <w:tab w:val="left" w:pos="2958"/>
          <w:tab w:val="left" w:pos="3123"/>
          <w:tab w:val="left" w:pos="3345"/>
          <w:tab w:val="left" w:pos="3585"/>
        </w:tabs>
        <w:rPr>
          <w:rFonts w:ascii="Garamond" w:hAnsi="Garamond"/>
          <w:b/>
          <w:sz w:val="24"/>
          <w:szCs w:val="24"/>
        </w:rPr>
      </w:pPr>
      <w:r>
        <w:rPr>
          <w:rFonts w:ascii="Garamond" w:hAnsi="Garamond"/>
          <w:sz w:val="24"/>
          <w:szCs w:val="24"/>
        </w:rPr>
        <w:t>Mission, PSLOs and CSLOs</w:t>
      </w:r>
      <w:r w:rsidR="00B00CA7">
        <w:rPr>
          <w:rFonts w:ascii="Garamond" w:hAnsi="Garamond"/>
          <w:sz w:val="24"/>
          <w:szCs w:val="24"/>
        </w:rPr>
        <w:t xml:space="preserve"> </w:t>
      </w:r>
      <w:r>
        <w:rPr>
          <w:rFonts w:ascii="Garamond" w:hAnsi="Garamond"/>
          <w:sz w:val="24"/>
          <w:szCs w:val="24"/>
        </w:rPr>
        <w:t>must be consistent across programs reviews from different campuses and re</w:t>
      </w:r>
      <w:r w:rsidR="004C158D">
        <w:rPr>
          <w:rFonts w:ascii="Garamond" w:hAnsi="Garamond"/>
          <w:sz w:val="24"/>
          <w:szCs w:val="24"/>
        </w:rPr>
        <w:t>present the published information</w:t>
      </w:r>
      <w:r>
        <w:rPr>
          <w:rFonts w:ascii="Garamond" w:hAnsi="Garamond"/>
          <w:sz w:val="24"/>
          <w:szCs w:val="24"/>
        </w:rPr>
        <w:t xml:space="preserve">.  It </w:t>
      </w:r>
      <w:r w:rsidR="00B00CA7">
        <w:rPr>
          <w:rFonts w:ascii="Garamond" w:hAnsi="Garamond"/>
          <w:sz w:val="24"/>
          <w:szCs w:val="24"/>
        </w:rPr>
        <w:t xml:space="preserve">was noted that some missions in the program review were different from the missions in the catalog.  It was also noted, that different missions were provided by different campuses for the same program. </w:t>
      </w:r>
    </w:p>
    <w:p w:rsidR="00B00CA7" w:rsidRPr="00C05B4C" w:rsidRDefault="006F1404" w:rsidP="009703CC">
      <w:pPr>
        <w:pStyle w:val="ListParagraph"/>
        <w:numPr>
          <w:ilvl w:val="0"/>
          <w:numId w:val="20"/>
        </w:numPr>
        <w:tabs>
          <w:tab w:val="left" w:pos="2958"/>
          <w:tab w:val="left" w:pos="3123"/>
          <w:tab w:val="left" w:pos="3345"/>
          <w:tab w:val="left" w:pos="3585"/>
        </w:tabs>
        <w:rPr>
          <w:rFonts w:ascii="Garamond" w:hAnsi="Garamond"/>
          <w:b/>
          <w:sz w:val="24"/>
          <w:szCs w:val="24"/>
        </w:rPr>
      </w:pPr>
      <w:r>
        <w:rPr>
          <w:rFonts w:ascii="Garamond" w:hAnsi="Garamond"/>
          <w:sz w:val="24"/>
          <w:szCs w:val="24"/>
        </w:rPr>
        <w:t xml:space="preserve">Consideration for conducting program reviews every two years and program prioritization every four to six years. </w:t>
      </w:r>
    </w:p>
    <w:p w:rsidR="00C05B4C" w:rsidRPr="00244377" w:rsidRDefault="00C05B4C" w:rsidP="009703CC">
      <w:pPr>
        <w:pStyle w:val="ListParagraph"/>
        <w:numPr>
          <w:ilvl w:val="0"/>
          <w:numId w:val="20"/>
        </w:numPr>
        <w:tabs>
          <w:tab w:val="left" w:pos="2958"/>
          <w:tab w:val="left" w:pos="3123"/>
          <w:tab w:val="left" w:pos="3345"/>
          <w:tab w:val="left" w:pos="3585"/>
        </w:tabs>
        <w:rPr>
          <w:rFonts w:ascii="Garamond" w:hAnsi="Garamond"/>
          <w:b/>
          <w:sz w:val="24"/>
          <w:szCs w:val="24"/>
        </w:rPr>
      </w:pPr>
      <w:r>
        <w:rPr>
          <w:rFonts w:ascii="Garamond" w:hAnsi="Garamond"/>
          <w:sz w:val="24"/>
          <w:szCs w:val="24"/>
        </w:rPr>
        <w:t xml:space="preserve">Consideration given for general education and other programs (as defined by </w:t>
      </w:r>
      <w:proofErr w:type="spellStart"/>
      <w:r>
        <w:rPr>
          <w:rFonts w:ascii="Garamond" w:hAnsi="Garamond"/>
          <w:sz w:val="24"/>
          <w:szCs w:val="24"/>
        </w:rPr>
        <w:t>Dickeson</w:t>
      </w:r>
      <w:proofErr w:type="spellEnd"/>
      <w:r>
        <w:rPr>
          <w:rFonts w:ascii="Garamond" w:hAnsi="Garamond"/>
          <w:sz w:val="24"/>
          <w:szCs w:val="24"/>
        </w:rPr>
        <w:t xml:space="preserve">) conduct program reviews. </w:t>
      </w:r>
    </w:p>
    <w:p w:rsidR="00244377" w:rsidRPr="00B566A4" w:rsidRDefault="00244377" w:rsidP="009703CC">
      <w:pPr>
        <w:pStyle w:val="ListParagraph"/>
        <w:numPr>
          <w:ilvl w:val="0"/>
          <w:numId w:val="20"/>
        </w:numPr>
        <w:tabs>
          <w:tab w:val="left" w:pos="2958"/>
          <w:tab w:val="left" w:pos="3123"/>
          <w:tab w:val="left" w:pos="3345"/>
          <w:tab w:val="left" w:pos="3585"/>
        </w:tabs>
        <w:rPr>
          <w:rFonts w:ascii="Garamond" w:hAnsi="Garamond"/>
          <w:b/>
          <w:sz w:val="24"/>
          <w:szCs w:val="24"/>
        </w:rPr>
      </w:pPr>
      <w:r>
        <w:rPr>
          <w:rFonts w:ascii="Garamond" w:hAnsi="Garamond"/>
          <w:sz w:val="24"/>
          <w:szCs w:val="24"/>
        </w:rPr>
        <w:lastRenderedPageBreak/>
        <w:t xml:space="preserve">Consideration given for a single program review developed for programs offered at different campuses with desegregated information included for each campus. </w:t>
      </w:r>
    </w:p>
    <w:p w:rsidR="00A0646A" w:rsidRDefault="00B566A4" w:rsidP="009703CC">
      <w:pPr>
        <w:pStyle w:val="ListParagraph"/>
        <w:numPr>
          <w:ilvl w:val="0"/>
          <w:numId w:val="20"/>
        </w:numPr>
        <w:tabs>
          <w:tab w:val="left" w:pos="2958"/>
          <w:tab w:val="left" w:pos="3123"/>
          <w:tab w:val="left" w:pos="3345"/>
          <w:tab w:val="left" w:pos="3585"/>
        </w:tabs>
        <w:rPr>
          <w:rFonts w:ascii="Garamond" w:hAnsi="Garamond"/>
          <w:sz w:val="24"/>
          <w:szCs w:val="24"/>
        </w:rPr>
      </w:pPr>
      <w:r>
        <w:rPr>
          <w:rFonts w:ascii="Garamond" w:hAnsi="Garamond"/>
          <w:sz w:val="24"/>
          <w:szCs w:val="24"/>
        </w:rPr>
        <w:t xml:space="preserve">Consideration given to reformatting the program review and prioritization forms for greater congruence. </w:t>
      </w:r>
    </w:p>
    <w:p w:rsidR="00A0646A" w:rsidRDefault="00A0646A">
      <w:pPr>
        <w:rPr>
          <w:rFonts w:ascii="Garamond" w:hAnsi="Garamond"/>
          <w:sz w:val="24"/>
          <w:szCs w:val="24"/>
        </w:rPr>
      </w:pPr>
      <w:r>
        <w:rPr>
          <w:rFonts w:ascii="Garamond" w:hAnsi="Garamond"/>
          <w:sz w:val="24"/>
          <w:szCs w:val="24"/>
        </w:rPr>
        <w:br w:type="page"/>
      </w:r>
    </w:p>
    <w:p w:rsidR="00B566A4" w:rsidRPr="00A0646A" w:rsidRDefault="00B566A4" w:rsidP="00A0646A">
      <w:pPr>
        <w:tabs>
          <w:tab w:val="left" w:pos="2958"/>
          <w:tab w:val="left" w:pos="3123"/>
          <w:tab w:val="left" w:pos="3345"/>
          <w:tab w:val="left" w:pos="3585"/>
        </w:tabs>
        <w:ind w:left="1080"/>
        <w:rPr>
          <w:rFonts w:ascii="Garamond" w:hAnsi="Garamond"/>
          <w:b/>
          <w:sz w:val="24"/>
          <w:szCs w:val="24"/>
        </w:rPr>
      </w:pPr>
      <w:bookmarkStart w:id="0" w:name="_GoBack"/>
      <w:bookmarkEnd w:id="0"/>
    </w:p>
    <w:p w:rsidR="00D12B2B" w:rsidRPr="00D225E2" w:rsidRDefault="003C3DDD" w:rsidP="004463E9">
      <w:pPr>
        <w:tabs>
          <w:tab w:val="left" w:pos="3456"/>
          <w:tab w:val="left" w:pos="3585"/>
        </w:tabs>
        <w:rPr>
          <w:rFonts w:ascii="Garamond" w:hAnsi="Garamond"/>
          <w:b/>
          <w:sz w:val="24"/>
          <w:szCs w:val="24"/>
        </w:rPr>
      </w:pPr>
      <w:r w:rsidRPr="006650BE">
        <w:rPr>
          <w:rFonts w:ascii="Garamond" w:hAnsi="Garamond"/>
          <w:sz w:val="24"/>
          <w:szCs w:val="24"/>
        </w:rPr>
        <w:t xml:space="preserve"> </w:t>
      </w:r>
      <w:r w:rsidR="00965461" w:rsidRPr="006650BE">
        <w:rPr>
          <w:rFonts w:ascii="Garamond" w:hAnsi="Garamond"/>
          <w:sz w:val="24"/>
          <w:szCs w:val="24"/>
        </w:rPr>
        <w:tab/>
      </w:r>
      <w:r w:rsidR="00D12B2B" w:rsidRPr="00D225E2">
        <w:rPr>
          <w:rFonts w:ascii="Garamond" w:hAnsi="Garamond"/>
          <w:b/>
          <w:sz w:val="24"/>
          <w:szCs w:val="24"/>
        </w:rPr>
        <w:t>Appendix:</w:t>
      </w:r>
    </w:p>
    <w:p w:rsidR="00143193" w:rsidRPr="00143193" w:rsidRDefault="00143193" w:rsidP="00143193">
      <w:pPr>
        <w:spacing w:before="100" w:beforeAutospacing="1" w:after="100" w:afterAutospacing="1" w:line="240" w:lineRule="auto"/>
        <w:rPr>
          <w:rFonts w:ascii="Times New Roman" w:eastAsia="Times New Roman" w:hAnsi="Times New Roman" w:cs="Times New Roman"/>
          <w:b/>
          <w:bCs/>
          <w:sz w:val="18"/>
          <w:szCs w:val="18"/>
        </w:rPr>
      </w:pPr>
      <w:r w:rsidRPr="00143193">
        <w:rPr>
          <w:rFonts w:ascii="Times New Roman" w:eastAsia="Times New Roman" w:hAnsi="Times New Roman" w:cs="Times New Roman"/>
          <w:b/>
          <w:bCs/>
          <w:sz w:val="18"/>
          <w:szCs w:val="18"/>
        </w:rPr>
        <w:t xml:space="preserve">Appendix </w:t>
      </w:r>
      <w:r w:rsidR="0024645C">
        <w:rPr>
          <w:rFonts w:ascii="Times New Roman" w:eastAsia="Times New Roman" w:hAnsi="Times New Roman" w:cs="Times New Roman"/>
          <w:b/>
          <w:bCs/>
          <w:sz w:val="18"/>
          <w:szCs w:val="18"/>
        </w:rPr>
        <w:t>A</w:t>
      </w:r>
      <w:r w:rsidRPr="00143193">
        <w:rPr>
          <w:rFonts w:ascii="Times New Roman" w:eastAsia="Times New Roman" w:hAnsi="Times New Roman" w:cs="Times New Roman"/>
          <w:b/>
          <w:bCs/>
          <w:sz w:val="18"/>
          <w:szCs w:val="18"/>
        </w:rPr>
        <w:t>: Academic Program Prioritization Rating Form 2014</w:t>
      </w:r>
    </w:p>
    <w:tbl>
      <w:tblPr>
        <w:tblStyle w:val="TableGrid"/>
        <w:tblW w:w="4992" w:type="pct"/>
        <w:tblLook w:val="04A0" w:firstRow="1" w:lastRow="0" w:firstColumn="1" w:lastColumn="0" w:noHBand="0" w:noVBand="1"/>
      </w:tblPr>
      <w:tblGrid>
        <w:gridCol w:w="1865"/>
        <w:gridCol w:w="1868"/>
        <w:gridCol w:w="1868"/>
        <w:gridCol w:w="1868"/>
        <w:gridCol w:w="2092"/>
      </w:tblGrid>
      <w:tr w:rsidR="00143193" w:rsidRPr="00BC0E0A" w:rsidTr="00E34F9E">
        <w:tc>
          <w:tcPr>
            <w:tcW w:w="975" w:type="pct"/>
          </w:tcPr>
          <w:p w:rsidR="00143193" w:rsidRPr="00BC0E0A" w:rsidRDefault="00143193" w:rsidP="00E34F9E">
            <w:pPr>
              <w:spacing w:before="100" w:beforeAutospacing="1" w:after="100" w:afterAutospacing="1"/>
              <w:rPr>
                <w:rFonts w:ascii="Times New Roman" w:eastAsia="Times New Roman" w:hAnsi="Times New Roman" w:cs="Times New Roman"/>
                <w:b/>
                <w:bCs/>
                <w:sz w:val="20"/>
                <w:szCs w:val="20"/>
              </w:rPr>
            </w:pPr>
            <w:r w:rsidRPr="00BC0E0A">
              <w:rPr>
                <w:rFonts w:ascii="Times New Roman" w:eastAsia="Times New Roman" w:hAnsi="Times New Roman" w:cs="Times New Roman"/>
                <w:b/>
                <w:bCs/>
                <w:sz w:val="20"/>
                <w:szCs w:val="20"/>
              </w:rPr>
              <w:t>Program name:</w:t>
            </w:r>
          </w:p>
        </w:tc>
        <w:tc>
          <w:tcPr>
            <w:tcW w:w="977" w:type="pct"/>
          </w:tcPr>
          <w:p w:rsidR="00143193" w:rsidRPr="00BC0E0A" w:rsidRDefault="00143193" w:rsidP="00E34F9E">
            <w:pPr>
              <w:spacing w:before="100" w:beforeAutospacing="1" w:after="100" w:afterAutospacing="1"/>
              <w:rPr>
                <w:rFonts w:ascii="Times New Roman" w:eastAsia="Times New Roman" w:hAnsi="Times New Roman" w:cs="Times New Roman"/>
                <w:b/>
                <w:bCs/>
                <w:sz w:val="20"/>
                <w:szCs w:val="20"/>
              </w:rPr>
            </w:pPr>
          </w:p>
        </w:tc>
        <w:tc>
          <w:tcPr>
            <w:tcW w:w="977" w:type="pct"/>
          </w:tcPr>
          <w:p w:rsidR="00143193" w:rsidRPr="00BC0E0A" w:rsidRDefault="00143193" w:rsidP="00E34F9E">
            <w:pPr>
              <w:spacing w:before="100" w:beforeAutospacing="1" w:after="100" w:afterAutospacing="1"/>
              <w:rPr>
                <w:rFonts w:ascii="Times New Roman" w:eastAsia="Times New Roman" w:hAnsi="Times New Roman" w:cs="Times New Roman"/>
                <w:b/>
                <w:bCs/>
                <w:sz w:val="20"/>
                <w:szCs w:val="20"/>
              </w:rPr>
            </w:pPr>
            <w:r w:rsidRPr="00BC0E0A">
              <w:rPr>
                <w:rFonts w:ascii="Times New Roman" w:eastAsia="Times New Roman" w:hAnsi="Times New Roman" w:cs="Times New Roman"/>
                <w:b/>
                <w:bCs/>
                <w:sz w:val="20"/>
                <w:szCs w:val="20"/>
              </w:rPr>
              <w:t>Reviewed by:</w:t>
            </w:r>
          </w:p>
        </w:tc>
        <w:tc>
          <w:tcPr>
            <w:tcW w:w="977" w:type="pct"/>
          </w:tcPr>
          <w:p w:rsidR="00143193" w:rsidRPr="00BC0E0A" w:rsidRDefault="00143193" w:rsidP="00E34F9E">
            <w:pPr>
              <w:spacing w:before="100" w:beforeAutospacing="1" w:after="100" w:afterAutospacing="1"/>
              <w:rPr>
                <w:rFonts w:ascii="Times New Roman" w:eastAsia="Times New Roman" w:hAnsi="Times New Roman" w:cs="Times New Roman"/>
                <w:b/>
                <w:bCs/>
                <w:sz w:val="20"/>
                <w:szCs w:val="20"/>
              </w:rPr>
            </w:pPr>
          </w:p>
        </w:tc>
        <w:tc>
          <w:tcPr>
            <w:tcW w:w="1095" w:type="pct"/>
          </w:tcPr>
          <w:p w:rsidR="00143193" w:rsidRPr="00BC0E0A" w:rsidRDefault="00143193" w:rsidP="00E34F9E">
            <w:pPr>
              <w:spacing w:before="100" w:beforeAutospacing="1" w:after="100" w:afterAutospacing="1"/>
              <w:rPr>
                <w:rFonts w:ascii="Times New Roman" w:eastAsia="Times New Roman" w:hAnsi="Times New Roman" w:cs="Times New Roman"/>
                <w:b/>
                <w:bCs/>
                <w:sz w:val="20"/>
                <w:szCs w:val="20"/>
              </w:rPr>
            </w:pPr>
            <w:r w:rsidRPr="00BC0E0A">
              <w:rPr>
                <w:rFonts w:ascii="Times New Roman" w:eastAsia="Times New Roman" w:hAnsi="Times New Roman" w:cs="Times New Roman"/>
                <w:b/>
                <w:bCs/>
                <w:sz w:val="20"/>
                <w:szCs w:val="20"/>
              </w:rPr>
              <w:t xml:space="preserve">Date: </w:t>
            </w:r>
          </w:p>
        </w:tc>
      </w:tr>
    </w:tbl>
    <w:p w:rsidR="00143193" w:rsidRPr="00BC0E0A" w:rsidRDefault="00143193" w:rsidP="00143193">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346"/>
        <w:gridCol w:w="2739"/>
        <w:gridCol w:w="51"/>
        <w:gridCol w:w="366"/>
        <w:gridCol w:w="34"/>
        <w:gridCol w:w="383"/>
        <w:gridCol w:w="17"/>
        <w:gridCol w:w="414"/>
      </w:tblGrid>
      <w:tr w:rsidR="00143193" w:rsidRPr="00BC0E0A" w:rsidTr="00143193">
        <w:trPr>
          <w:tblHeader/>
        </w:trPr>
        <w:tc>
          <w:tcPr>
            <w:tcW w:w="5346" w:type="dxa"/>
            <w:shd w:val="clear" w:color="auto" w:fill="E2EFD9" w:themeFill="accent6" w:themeFillTint="33"/>
            <w:vAlign w:val="center"/>
          </w:tcPr>
          <w:p w:rsidR="00143193" w:rsidRPr="00BC0E0A" w:rsidRDefault="00143193" w:rsidP="00E34F9E">
            <w:pPr>
              <w:pStyle w:val="NoSpacing"/>
              <w:rPr>
                <w:rFonts w:ascii="Times New Roman" w:hAnsi="Times New Roman" w:cs="Times New Roman"/>
                <w:b/>
                <w:sz w:val="20"/>
                <w:szCs w:val="20"/>
              </w:rPr>
            </w:pPr>
            <w:r w:rsidRPr="00BC0E0A">
              <w:rPr>
                <w:rFonts w:ascii="Times New Roman" w:hAnsi="Times New Roman" w:cs="Times New Roman"/>
                <w:b/>
                <w:sz w:val="20"/>
                <w:szCs w:val="20"/>
              </w:rPr>
              <w:t>Criteria (Target)</w:t>
            </w:r>
          </w:p>
        </w:tc>
        <w:tc>
          <w:tcPr>
            <w:tcW w:w="2739" w:type="dxa"/>
            <w:shd w:val="clear" w:color="auto" w:fill="E2EFD9" w:themeFill="accent6" w:themeFillTint="33"/>
            <w:vAlign w:val="center"/>
          </w:tcPr>
          <w:p w:rsidR="00143193" w:rsidRPr="00BC0E0A" w:rsidRDefault="00143193" w:rsidP="00E34F9E">
            <w:pPr>
              <w:pStyle w:val="NoSpacing"/>
              <w:rPr>
                <w:rFonts w:ascii="Times New Roman" w:hAnsi="Times New Roman" w:cs="Times New Roman"/>
                <w:b/>
                <w:sz w:val="20"/>
                <w:szCs w:val="20"/>
              </w:rPr>
            </w:pPr>
            <w:r w:rsidRPr="00BC0E0A">
              <w:rPr>
                <w:rFonts w:ascii="Times New Roman" w:hAnsi="Times New Roman" w:cs="Times New Roman"/>
                <w:b/>
                <w:sz w:val="20"/>
                <w:szCs w:val="20"/>
              </w:rPr>
              <w:t>Comments</w:t>
            </w:r>
          </w:p>
        </w:tc>
        <w:tc>
          <w:tcPr>
            <w:tcW w:w="417" w:type="dxa"/>
            <w:gridSpan w:val="2"/>
            <w:shd w:val="clear" w:color="auto" w:fill="E2EFD9" w:themeFill="accent6" w:themeFillTint="33"/>
            <w:vAlign w:val="center"/>
          </w:tcPr>
          <w:p w:rsidR="00143193" w:rsidRPr="00A123E7" w:rsidRDefault="00143193" w:rsidP="00E34F9E">
            <w:pPr>
              <w:pStyle w:val="NoSpacing"/>
              <w:rPr>
                <w:rFonts w:ascii="Times New Roman" w:hAnsi="Times New Roman" w:cs="Times New Roman"/>
                <w:sz w:val="20"/>
                <w:szCs w:val="20"/>
              </w:rPr>
            </w:pPr>
            <w:r w:rsidRPr="00BC0E0A">
              <w:rPr>
                <w:rFonts w:ascii="Times New Roman" w:hAnsi="Times New Roman" w:cs="Times New Roman"/>
                <w:b/>
                <w:sz w:val="20"/>
                <w:szCs w:val="20"/>
              </w:rPr>
              <w:t>5</w:t>
            </w:r>
          </w:p>
        </w:tc>
        <w:tc>
          <w:tcPr>
            <w:tcW w:w="417" w:type="dxa"/>
            <w:gridSpan w:val="2"/>
            <w:shd w:val="clear" w:color="auto" w:fill="E2EFD9" w:themeFill="accent6" w:themeFillTint="33"/>
            <w:vAlign w:val="center"/>
          </w:tcPr>
          <w:p w:rsidR="00143193" w:rsidRPr="00A123E7" w:rsidRDefault="00143193" w:rsidP="00E34F9E">
            <w:pPr>
              <w:rPr>
                <w:rFonts w:ascii="Times New Roman" w:hAnsi="Times New Roman" w:cs="Times New Roman"/>
                <w:sz w:val="20"/>
                <w:szCs w:val="20"/>
              </w:rPr>
            </w:pPr>
            <w:r w:rsidRPr="00BC0E0A">
              <w:rPr>
                <w:rFonts w:ascii="Times New Roman" w:hAnsi="Times New Roman" w:cs="Times New Roman"/>
                <w:b/>
                <w:sz w:val="20"/>
                <w:szCs w:val="20"/>
              </w:rPr>
              <w:t>3</w:t>
            </w:r>
          </w:p>
        </w:tc>
        <w:tc>
          <w:tcPr>
            <w:tcW w:w="431" w:type="dxa"/>
            <w:gridSpan w:val="2"/>
            <w:shd w:val="clear" w:color="auto" w:fill="E2EFD9" w:themeFill="accent6" w:themeFillTint="33"/>
            <w:vAlign w:val="center"/>
          </w:tcPr>
          <w:p w:rsidR="00143193" w:rsidRDefault="00143193" w:rsidP="00E34F9E">
            <w:pPr>
              <w:pStyle w:val="NoSpacing"/>
              <w:jc w:val="center"/>
              <w:rPr>
                <w:rFonts w:ascii="Times New Roman" w:hAnsi="Times New Roman" w:cs="Times New Roman"/>
                <w:b/>
                <w:sz w:val="20"/>
                <w:szCs w:val="20"/>
              </w:rPr>
            </w:pPr>
          </w:p>
          <w:p w:rsidR="00143193" w:rsidRDefault="00143193" w:rsidP="00E34F9E">
            <w:pPr>
              <w:pStyle w:val="NoSpacing"/>
              <w:jc w:val="center"/>
              <w:rPr>
                <w:rFonts w:ascii="Times New Roman" w:hAnsi="Times New Roman" w:cs="Times New Roman"/>
                <w:sz w:val="20"/>
                <w:szCs w:val="20"/>
              </w:rPr>
            </w:pPr>
            <w:r w:rsidRPr="00BC0E0A">
              <w:rPr>
                <w:rFonts w:ascii="Times New Roman" w:hAnsi="Times New Roman" w:cs="Times New Roman"/>
                <w:b/>
                <w:sz w:val="20"/>
                <w:szCs w:val="20"/>
              </w:rPr>
              <w:t>1</w:t>
            </w:r>
          </w:p>
          <w:p w:rsidR="00143193" w:rsidRPr="00A123E7" w:rsidRDefault="00143193" w:rsidP="00E34F9E">
            <w:pPr>
              <w:pStyle w:val="NoSpacing"/>
              <w:jc w:val="center"/>
              <w:rPr>
                <w:rFonts w:ascii="Times New Roman" w:hAnsi="Times New Roman" w:cs="Times New Roman"/>
                <w:sz w:val="20"/>
                <w:szCs w:val="20"/>
              </w:rPr>
            </w:pPr>
          </w:p>
        </w:tc>
      </w:tr>
      <w:tr w:rsidR="00143193" w:rsidRPr="00BC0E0A" w:rsidTr="00143193">
        <w:tc>
          <w:tcPr>
            <w:tcW w:w="5346" w:type="dxa"/>
            <w:shd w:val="clear" w:color="auto" w:fill="EDEDED" w:themeFill="accent3" w:themeFillTint="33"/>
          </w:tcPr>
          <w:p w:rsidR="00143193" w:rsidRPr="00BC0E0A" w:rsidRDefault="00143193" w:rsidP="00E34F9E">
            <w:pPr>
              <w:pStyle w:val="NoSpacing"/>
              <w:rPr>
                <w:rFonts w:ascii="Times New Roman" w:hAnsi="Times New Roman" w:cs="Times New Roman"/>
                <w:b/>
                <w:sz w:val="18"/>
                <w:szCs w:val="18"/>
              </w:rPr>
            </w:pPr>
            <w:r w:rsidRPr="00BC0E0A">
              <w:rPr>
                <w:rFonts w:ascii="Times New Roman" w:hAnsi="Times New Roman" w:cs="Times New Roman"/>
                <w:b/>
                <w:sz w:val="18"/>
                <w:szCs w:val="18"/>
              </w:rPr>
              <w:t>1. Quality of outcomes</w:t>
            </w:r>
          </w:p>
        </w:tc>
        <w:tc>
          <w:tcPr>
            <w:tcW w:w="2739" w:type="dxa"/>
            <w:shd w:val="clear" w:color="auto" w:fill="EDEDED" w:themeFill="accent3" w:themeFillTint="33"/>
          </w:tcPr>
          <w:p w:rsidR="00143193" w:rsidRPr="00BC0E0A" w:rsidRDefault="00143193" w:rsidP="00E34F9E">
            <w:pPr>
              <w:pStyle w:val="NoSpacing"/>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31"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NoSpacing"/>
              <w:numPr>
                <w:ilvl w:val="0"/>
                <w:numId w:val="21"/>
              </w:numPr>
              <w:rPr>
                <w:rFonts w:ascii="Times New Roman" w:hAnsi="Times New Roman" w:cs="Times New Roman"/>
                <w:sz w:val="18"/>
                <w:szCs w:val="18"/>
              </w:rPr>
            </w:pPr>
            <w:r w:rsidRPr="00BC0E0A">
              <w:rPr>
                <w:rFonts w:ascii="Times New Roman" w:hAnsi="Times New Roman" w:cs="Times New Roman"/>
                <w:sz w:val="18"/>
                <w:szCs w:val="18"/>
              </w:rPr>
              <w:t xml:space="preserve">Employer satisfaction survey </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1"/>
              </w:numPr>
              <w:rPr>
                <w:rFonts w:ascii="Times New Roman" w:hAnsi="Times New Roman" w:cs="Times New Roman"/>
                <w:sz w:val="18"/>
                <w:szCs w:val="18"/>
              </w:rPr>
            </w:pPr>
            <w:r w:rsidRPr="00BC0E0A">
              <w:rPr>
                <w:rFonts w:ascii="Times New Roman" w:hAnsi="Times New Roman" w:cs="Times New Roman"/>
                <w:sz w:val="18"/>
                <w:szCs w:val="18"/>
              </w:rPr>
              <w:t xml:space="preserve">Graduation rates (12.8%) </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1"/>
              </w:numPr>
              <w:rPr>
                <w:rFonts w:ascii="Times New Roman" w:hAnsi="Times New Roman" w:cs="Times New Roman"/>
                <w:sz w:val="18"/>
                <w:szCs w:val="18"/>
              </w:rPr>
            </w:pPr>
            <w:r w:rsidRPr="00BC0E0A">
              <w:rPr>
                <w:rFonts w:ascii="Times New Roman" w:hAnsi="Times New Roman" w:cs="Times New Roman"/>
                <w:sz w:val="18"/>
                <w:szCs w:val="18"/>
              </w:rPr>
              <w:t xml:space="preserve">Required certifications (FSM Teacher, Vocational (CISCO, ETA, etc.) (55% to 45% meet certification requirement) </w:t>
            </w:r>
          </w:p>
        </w:tc>
        <w:tc>
          <w:tcPr>
            <w:tcW w:w="2739" w:type="dxa"/>
            <w:vAlign w:val="center"/>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1"/>
              </w:numPr>
              <w:rPr>
                <w:rFonts w:ascii="Times New Roman" w:hAnsi="Times New Roman" w:cs="Times New Roman"/>
                <w:sz w:val="18"/>
                <w:szCs w:val="18"/>
              </w:rPr>
            </w:pPr>
            <w:r w:rsidRPr="00BC0E0A">
              <w:rPr>
                <w:rFonts w:ascii="Times New Roman" w:hAnsi="Times New Roman" w:cs="Times New Roman"/>
                <w:sz w:val="18"/>
                <w:szCs w:val="18"/>
              </w:rPr>
              <w:t>Job placement and success, earnings reports (Top 3</w:t>
            </w:r>
            <w:r w:rsidRPr="00BC0E0A">
              <w:rPr>
                <w:rFonts w:ascii="Times New Roman" w:hAnsi="Times New Roman" w:cs="Times New Roman"/>
                <w:sz w:val="18"/>
                <w:szCs w:val="18"/>
                <w:vertAlign w:val="superscript"/>
              </w:rPr>
              <w:t>rd</w:t>
            </w:r>
            <w:r w:rsidRPr="00BC0E0A">
              <w:rPr>
                <w:rFonts w:ascii="Times New Roman" w:hAnsi="Times New Roman" w:cs="Times New Roman"/>
                <w:sz w:val="18"/>
                <w:szCs w:val="18"/>
              </w:rPr>
              <w:t>., middle 3</w:t>
            </w:r>
            <w:r w:rsidRPr="00BC0E0A">
              <w:rPr>
                <w:rFonts w:ascii="Times New Roman" w:hAnsi="Times New Roman" w:cs="Times New Roman"/>
                <w:sz w:val="18"/>
                <w:szCs w:val="18"/>
                <w:vertAlign w:val="superscript"/>
              </w:rPr>
              <w:t>rd</w:t>
            </w:r>
            <w:r w:rsidRPr="00BC0E0A">
              <w:rPr>
                <w:rFonts w:ascii="Times New Roman" w:hAnsi="Times New Roman" w:cs="Times New Roman"/>
                <w:sz w:val="18"/>
                <w:szCs w:val="18"/>
              </w:rPr>
              <w:t>., low 3</w:t>
            </w:r>
            <w:r w:rsidRPr="00BC0E0A">
              <w:rPr>
                <w:rFonts w:ascii="Times New Roman" w:hAnsi="Times New Roman" w:cs="Times New Roman"/>
                <w:sz w:val="18"/>
                <w:szCs w:val="18"/>
                <w:vertAlign w:val="superscript"/>
              </w:rPr>
              <w:t>rd</w:t>
            </w:r>
            <w:r w:rsidRPr="00BC0E0A">
              <w:rPr>
                <w:rFonts w:ascii="Times New Roman" w:hAnsi="Times New Roman" w:cs="Times New Roman"/>
                <w:sz w:val="18"/>
                <w:szCs w:val="18"/>
              </w:rPr>
              <w:t xml:space="preserve">. ranking) </w:t>
            </w:r>
          </w:p>
        </w:tc>
        <w:tc>
          <w:tcPr>
            <w:tcW w:w="2739" w:type="dxa"/>
            <w:vAlign w:val="center"/>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1"/>
              </w:numPr>
              <w:rPr>
                <w:rFonts w:ascii="Times New Roman" w:hAnsi="Times New Roman" w:cs="Times New Roman"/>
                <w:sz w:val="18"/>
                <w:szCs w:val="18"/>
              </w:rPr>
            </w:pPr>
            <w:r w:rsidRPr="00BC0E0A">
              <w:rPr>
                <w:rFonts w:ascii="Times New Roman" w:hAnsi="Times New Roman" w:cs="Times New Roman"/>
                <w:sz w:val="18"/>
                <w:szCs w:val="18"/>
              </w:rPr>
              <w:t xml:space="preserve">Other external validity of quality (Very, Somewhat, Not Important) </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1"/>
              </w:numPr>
              <w:rPr>
                <w:rFonts w:ascii="Times New Roman" w:hAnsi="Times New Roman" w:cs="Times New Roman"/>
                <w:sz w:val="18"/>
                <w:szCs w:val="18"/>
              </w:rPr>
            </w:pPr>
            <w:r w:rsidRPr="00BC0E0A">
              <w:rPr>
                <w:rFonts w:ascii="Times New Roman" w:hAnsi="Times New Roman" w:cs="Times New Roman"/>
                <w:sz w:val="18"/>
                <w:szCs w:val="18"/>
              </w:rPr>
              <w:t>Percent of PSLOs met (At average or w/in 2%)</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1"/>
              </w:numPr>
              <w:rPr>
                <w:rFonts w:ascii="Times New Roman" w:eastAsia="Times New Roman" w:hAnsi="Times New Roman" w:cs="Times New Roman"/>
                <w:sz w:val="18"/>
                <w:szCs w:val="18"/>
              </w:rPr>
            </w:pPr>
            <w:r w:rsidRPr="00BC0E0A">
              <w:rPr>
                <w:rFonts w:ascii="Times New Roman" w:hAnsi="Times New Roman" w:cs="Times New Roman"/>
                <w:sz w:val="18"/>
                <w:szCs w:val="18"/>
              </w:rPr>
              <w:t>Percent of CSLOs met (At average or w/in 2%)</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rPr>
          <w:trHeight w:val="422"/>
        </w:trPr>
        <w:tc>
          <w:tcPr>
            <w:tcW w:w="5346" w:type="dxa"/>
            <w:shd w:val="clear" w:color="auto" w:fill="EDEDED" w:themeFill="accent3" w:themeFillTint="33"/>
          </w:tcPr>
          <w:p w:rsidR="00143193" w:rsidRPr="00BC0E0A" w:rsidRDefault="00143193" w:rsidP="00E34F9E">
            <w:pPr>
              <w:pStyle w:val="NoSpacing"/>
              <w:rPr>
                <w:rFonts w:ascii="Times New Roman" w:hAnsi="Times New Roman" w:cs="Times New Roman"/>
                <w:b/>
                <w:sz w:val="18"/>
                <w:szCs w:val="18"/>
              </w:rPr>
            </w:pPr>
            <w:r w:rsidRPr="00BC0E0A">
              <w:rPr>
                <w:rFonts w:ascii="Times New Roman" w:eastAsia="Times New Roman" w:hAnsi="Times New Roman" w:cs="Times New Roman"/>
                <w:b/>
                <w:sz w:val="18"/>
                <w:szCs w:val="18"/>
              </w:rPr>
              <w:t xml:space="preserve">2. Impact, justification and overall essentiality of the program (Program meets all 4 criteria, 2/3, one criterion) </w:t>
            </w:r>
          </w:p>
        </w:tc>
        <w:tc>
          <w:tcPr>
            <w:tcW w:w="2739" w:type="dxa"/>
            <w:shd w:val="clear" w:color="auto" w:fill="EDEDED" w:themeFill="accent3" w:themeFillTint="33"/>
          </w:tcPr>
          <w:p w:rsidR="00143193" w:rsidRPr="00BC0E0A" w:rsidRDefault="00143193" w:rsidP="00E34F9E">
            <w:pPr>
              <w:pStyle w:val="NoSpacing"/>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31"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rPr>
          <w:trHeight w:val="440"/>
        </w:trPr>
        <w:tc>
          <w:tcPr>
            <w:tcW w:w="5346" w:type="dxa"/>
          </w:tcPr>
          <w:p w:rsidR="00143193" w:rsidRPr="00BC0E0A" w:rsidRDefault="00143193" w:rsidP="00143193">
            <w:pPr>
              <w:pStyle w:val="ListParagraph"/>
              <w:numPr>
                <w:ilvl w:val="0"/>
                <w:numId w:val="22"/>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Degree to which program is “mission-critical” (program is aligned to mission)</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rPr>
          <w:trHeight w:val="440"/>
        </w:trPr>
        <w:tc>
          <w:tcPr>
            <w:tcW w:w="5346" w:type="dxa"/>
          </w:tcPr>
          <w:p w:rsidR="00143193" w:rsidRPr="00BC0E0A" w:rsidRDefault="00143193" w:rsidP="00143193">
            <w:pPr>
              <w:pStyle w:val="ListParagraph"/>
              <w:numPr>
                <w:ilvl w:val="0"/>
                <w:numId w:val="22"/>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Program learning outcomes (PSLOs) are aligned with Institutional Learning Outcomes (ISLOs)</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rPr>
          <w:trHeight w:val="620"/>
        </w:trPr>
        <w:tc>
          <w:tcPr>
            <w:tcW w:w="5346" w:type="dxa"/>
          </w:tcPr>
          <w:p w:rsidR="00143193" w:rsidRPr="00BC0E0A" w:rsidRDefault="00143193" w:rsidP="00143193">
            <w:pPr>
              <w:pStyle w:val="ListParagraph"/>
              <w:numPr>
                <w:ilvl w:val="0"/>
                <w:numId w:val="22"/>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Contains elements/resources for forward-looking new programs (program review identifies specific elements and resources that can improve outcomes)</w:t>
            </w:r>
          </w:p>
        </w:tc>
        <w:tc>
          <w:tcPr>
            <w:tcW w:w="2739" w:type="dxa"/>
            <w:vAlign w:val="center"/>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rPr>
          <w:trHeight w:val="422"/>
        </w:trPr>
        <w:tc>
          <w:tcPr>
            <w:tcW w:w="5346" w:type="dxa"/>
          </w:tcPr>
          <w:p w:rsidR="00143193" w:rsidRPr="00BC0E0A" w:rsidRDefault="00143193" w:rsidP="00143193">
            <w:pPr>
              <w:pStyle w:val="NoSpacing"/>
              <w:numPr>
                <w:ilvl w:val="0"/>
                <w:numId w:val="22"/>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Contributions to state’s economy (development of individuals who are likely to be employed in the workforce)</w:t>
            </w:r>
          </w:p>
        </w:tc>
        <w:tc>
          <w:tcPr>
            <w:tcW w:w="2739" w:type="dxa"/>
            <w:vAlign w:val="center"/>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shd w:val="clear" w:color="auto" w:fill="EDEDED" w:themeFill="accent3" w:themeFillTint="33"/>
          </w:tcPr>
          <w:p w:rsidR="00143193" w:rsidRPr="00BC0E0A" w:rsidRDefault="00143193" w:rsidP="00E34F9E">
            <w:pPr>
              <w:pStyle w:val="NoSpacing"/>
              <w:rPr>
                <w:rFonts w:ascii="Times New Roman" w:eastAsia="Times New Roman" w:hAnsi="Times New Roman" w:cs="Times New Roman"/>
                <w:b/>
                <w:sz w:val="18"/>
                <w:szCs w:val="18"/>
              </w:rPr>
            </w:pPr>
            <w:r w:rsidRPr="00BC0E0A">
              <w:rPr>
                <w:rFonts w:ascii="Times New Roman" w:eastAsia="Times New Roman" w:hAnsi="Times New Roman" w:cs="Times New Roman"/>
                <w:b/>
                <w:sz w:val="18"/>
                <w:szCs w:val="18"/>
              </w:rPr>
              <w:t>3. Size, scope and productivity of the program</w:t>
            </w:r>
          </w:p>
        </w:tc>
        <w:tc>
          <w:tcPr>
            <w:tcW w:w="2739" w:type="dxa"/>
            <w:shd w:val="clear" w:color="auto" w:fill="EDEDED" w:themeFill="accent3" w:themeFillTint="33"/>
          </w:tcPr>
          <w:p w:rsidR="00143193" w:rsidRPr="00BC0E0A" w:rsidRDefault="00143193" w:rsidP="00E34F9E">
            <w:pPr>
              <w:pStyle w:val="NoSpacing"/>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31"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NoSpacing"/>
              <w:numPr>
                <w:ilvl w:val="0"/>
                <w:numId w:val="23"/>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Three-year graduation rates, trend-line (Upward, Constant, Downward)</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3"/>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Retention rate (53.4%)</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3"/>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Persistence (76%)</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3"/>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Percent Withdrawals (Fall- 6.6%, Sp-12.2%</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3"/>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Section fill</w:t>
            </w:r>
            <w:r w:rsidR="00154F8B">
              <w:rPr>
                <w:rFonts w:ascii="Times New Roman" w:eastAsia="Times New Roman" w:hAnsi="Times New Roman" w:cs="Times New Roman"/>
                <w:sz w:val="18"/>
                <w:szCs w:val="18"/>
              </w:rPr>
              <w:t xml:space="preserve"> (79.5%)</w:t>
            </w:r>
          </w:p>
        </w:tc>
        <w:tc>
          <w:tcPr>
            <w:tcW w:w="2739" w:type="dxa"/>
          </w:tcPr>
          <w:p w:rsidR="00143193" w:rsidRPr="00BC0E0A" w:rsidRDefault="00143193" w:rsidP="00E34F9E">
            <w:pPr>
              <w:pStyle w:val="NoSpacing"/>
              <w:rPr>
                <w:rFonts w:ascii="Times New Roman" w:hAnsi="Times New Roman" w:cs="Times New Roman"/>
                <w:sz w:val="18"/>
                <w:szCs w:val="18"/>
                <w:highlight w:val="yellow"/>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highlight w:val="yellow"/>
              </w:rPr>
            </w:pPr>
          </w:p>
        </w:tc>
      </w:tr>
      <w:tr w:rsidR="00143193" w:rsidRPr="00BC0E0A" w:rsidTr="00143193">
        <w:tc>
          <w:tcPr>
            <w:tcW w:w="5346" w:type="dxa"/>
          </w:tcPr>
          <w:p w:rsidR="00143193" w:rsidRPr="00BC0E0A" w:rsidRDefault="00143193" w:rsidP="00143193">
            <w:pPr>
              <w:pStyle w:val="NoSpacing"/>
              <w:numPr>
                <w:ilvl w:val="0"/>
                <w:numId w:val="23"/>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Course completion rates (Fall-66.3%, Sp-60.6%)</w:t>
            </w:r>
          </w:p>
        </w:tc>
        <w:tc>
          <w:tcPr>
            <w:tcW w:w="2739" w:type="dxa"/>
          </w:tcPr>
          <w:p w:rsidR="00143193" w:rsidRPr="00BC0E0A" w:rsidRDefault="00143193" w:rsidP="00E34F9E">
            <w:pPr>
              <w:pStyle w:val="NoSpacing"/>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3"/>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Redundancy of courses across the programs (1 redundant course)</w:t>
            </w:r>
          </w:p>
        </w:tc>
        <w:tc>
          <w:tcPr>
            <w:tcW w:w="2739" w:type="dxa"/>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3"/>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Redundancy of programs across the institution (1 redundant program)</w:t>
            </w:r>
          </w:p>
        </w:tc>
        <w:tc>
          <w:tcPr>
            <w:tcW w:w="2739" w:type="dxa"/>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shd w:val="clear" w:color="auto" w:fill="EDEDED" w:themeFill="accent3" w:themeFillTint="33"/>
          </w:tcPr>
          <w:p w:rsidR="00143193" w:rsidRPr="00BC0E0A" w:rsidRDefault="00143193" w:rsidP="00E34F9E">
            <w:pPr>
              <w:pStyle w:val="NoSpacing"/>
              <w:rPr>
                <w:rFonts w:ascii="Times New Roman" w:eastAsia="Times New Roman" w:hAnsi="Times New Roman" w:cs="Times New Roman"/>
                <w:b/>
                <w:sz w:val="18"/>
                <w:szCs w:val="18"/>
              </w:rPr>
            </w:pPr>
            <w:r w:rsidRPr="00BC0E0A">
              <w:rPr>
                <w:rFonts w:ascii="Times New Roman" w:eastAsia="Times New Roman" w:hAnsi="Times New Roman" w:cs="Times New Roman"/>
                <w:b/>
                <w:sz w:val="18"/>
                <w:szCs w:val="18"/>
              </w:rPr>
              <w:t>4. External demand for the program</w:t>
            </w:r>
          </w:p>
        </w:tc>
        <w:tc>
          <w:tcPr>
            <w:tcW w:w="2739" w:type="dxa"/>
            <w:shd w:val="clear" w:color="auto" w:fill="EDEDED" w:themeFill="accent3" w:themeFillTint="33"/>
          </w:tcPr>
          <w:p w:rsidR="00143193" w:rsidRPr="00BC0E0A" w:rsidRDefault="00143193" w:rsidP="00E34F9E">
            <w:pPr>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31"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ListParagraph"/>
              <w:numPr>
                <w:ilvl w:val="0"/>
                <w:numId w:val="24"/>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Placement office reports on placement, alumni, professional (longer term) and association reports (Great, Average, Low Demand)</w:t>
            </w:r>
          </w:p>
        </w:tc>
        <w:tc>
          <w:tcPr>
            <w:tcW w:w="2739" w:type="dxa"/>
            <w:vAlign w:val="center"/>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4"/>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 xml:space="preserve">Employer feedback/survey or advisory council feedback </w:t>
            </w:r>
          </w:p>
        </w:tc>
        <w:tc>
          <w:tcPr>
            <w:tcW w:w="2739" w:type="dxa"/>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NoSpacing"/>
              <w:numPr>
                <w:ilvl w:val="0"/>
                <w:numId w:val="24"/>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Program added or cancelled at nearby rival institutions. Same program offered at nearby institutions? (High if program not offered, average if 1, Low if 2 or more)</w:t>
            </w:r>
          </w:p>
        </w:tc>
        <w:tc>
          <w:tcPr>
            <w:tcW w:w="2739" w:type="dxa"/>
            <w:vAlign w:val="center"/>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spacing w:before="100" w:beforeAutospacing="1" w:after="100" w:afterAutospacing="1"/>
              <w:jc w:val="center"/>
              <w:rPr>
                <w:rFonts w:ascii="Times New Roman" w:eastAsia="Times New Roman" w:hAnsi="Times New Roman" w:cs="Times New Roman"/>
                <w:sz w:val="18"/>
                <w:szCs w:val="18"/>
              </w:rPr>
            </w:pPr>
          </w:p>
        </w:tc>
        <w:tc>
          <w:tcPr>
            <w:tcW w:w="417" w:type="dxa"/>
            <w:gridSpan w:val="2"/>
            <w:vAlign w:val="center"/>
          </w:tcPr>
          <w:p w:rsidR="00143193" w:rsidRPr="00BC0E0A" w:rsidRDefault="00143193" w:rsidP="00E34F9E">
            <w:pPr>
              <w:spacing w:before="100" w:beforeAutospacing="1" w:after="100" w:afterAutospacing="1"/>
              <w:jc w:val="center"/>
              <w:rPr>
                <w:rFonts w:ascii="Times New Roman" w:eastAsia="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4"/>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State and federal requirements/gainful employment, etc. (Exceeds, Meets, does not meet)</w:t>
            </w:r>
          </w:p>
        </w:tc>
        <w:tc>
          <w:tcPr>
            <w:tcW w:w="2739" w:type="dxa"/>
            <w:vAlign w:val="center"/>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shd w:val="clear" w:color="auto" w:fill="EDEDED" w:themeFill="accent3" w:themeFillTint="33"/>
          </w:tcPr>
          <w:p w:rsidR="00143193" w:rsidRPr="00BC0E0A" w:rsidRDefault="00143193" w:rsidP="00E34F9E">
            <w:pPr>
              <w:spacing w:before="100" w:beforeAutospacing="1" w:after="100" w:afterAutospacing="1"/>
              <w:rPr>
                <w:rFonts w:ascii="Times New Roman" w:eastAsia="Times New Roman" w:hAnsi="Times New Roman" w:cs="Times New Roman"/>
                <w:b/>
                <w:sz w:val="18"/>
                <w:szCs w:val="18"/>
              </w:rPr>
            </w:pPr>
            <w:r w:rsidRPr="00BC0E0A">
              <w:rPr>
                <w:rFonts w:ascii="Times New Roman" w:hAnsi="Times New Roman" w:cs="Times New Roman"/>
                <w:b/>
                <w:sz w:val="18"/>
                <w:szCs w:val="18"/>
              </w:rPr>
              <w:br w:type="page"/>
            </w:r>
            <w:r w:rsidRPr="00BC0E0A">
              <w:rPr>
                <w:rFonts w:ascii="Times New Roman" w:eastAsia="Times New Roman" w:hAnsi="Times New Roman" w:cs="Times New Roman"/>
                <w:b/>
                <w:sz w:val="18"/>
                <w:szCs w:val="18"/>
              </w:rPr>
              <w:t>5. Internal demand for the program.</w:t>
            </w:r>
          </w:p>
        </w:tc>
        <w:tc>
          <w:tcPr>
            <w:tcW w:w="2739" w:type="dxa"/>
            <w:shd w:val="clear" w:color="auto" w:fill="EDEDED" w:themeFill="accent3" w:themeFillTint="33"/>
          </w:tcPr>
          <w:p w:rsidR="00143193" w:rsidRPr="00BC0E0A" w:rsidRDefault="00143193" w:rsidP="00E34F9E">
            <w:pPr>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7"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31"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ListParagraph"/>
              <w:numPr>
                <w:ilvl w:val="0"/>
                <w:numId w:val="25"/>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Student credits generated by: major, program, general education, service courses (27146)</w:t>
            </w:r>
          </w:p>
        </w:tc>
        <w:tc>
          <w:tcPr>
            <w:tcW w:w="2739" w:type="dxa"/>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5"/>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lastRenderedPageBreak/>
              <w:t>Program mapping of courses delivered/timing &amp; frequency (High, Average w/some adjustment, Low  if won’t allow timely graduation)</w:t>
            </w:r>
          </w:p>
        </w:tc>
        <w:tc>
          <w:tcPr>
            <w:tcW w:w="2739" w:type="dxa"/>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5"/>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Student enrollments in program (Average or 63.6%  in Fall)</w:t>
            </w:r>
          </w:p>
        </w:tc>
        <w:tc>
          <w:tcPr>
            <w:tcW w:w="2739" w:type="dxa"/>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5"/>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Programs that support majors and minors of other programs /at the program level this applies to programs that support other programs, Gen. Ed. etc. (Provides courses required by other programs, Provides courses that prepare students)</w:t>
            </w:r>
          </w:p>
        </w:tc>
        <w:tc>
          <w:tcPr>
            <w:tcW w:w="2739" w:type="dxa"/>
          </w:tcPr>
          <w:p w:rsidR="00143193" w:rsidRPr="00BC0E0A" w:rsidRDefault="00143193" w:rsidP="00E34F9E">
            <w:pP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17" w:type="dxa"/>
            <w:gridSpan w:val="2"/>
            <w:vAlign w:val="center"/>
          </w:tcPr>
          <w:p w:rsidR="00143193" w:rsidRPr="00BC0E0A" w:rsidRDefault="00143193" w:rsidP="00E34F9E">
            <w:pPr>
              <w:jc w:val="center"/>
              <w:rPr>
                <w:rFonts w:ascii="Times New Roman" w:hAnsi="Times New Roman" w:cs="Times New Roman"/>
                <w:sz w:val="18"/>
                <w:szCs w:val="18"/>
              </w:rPr>
            </w:pPr>
          </w:p>
        </w:tc>
        <w:tc>
          <w:tcPr>
            <w:tcW w:w="431" w:type="dxa"/>
            <w:gridSpan w:val="2"/>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shd w:val="clear" w:color="auto" w:fill="EDEDED" w:themeFill="accent3" w:themeFillTint="33"/>
          </w:tcPr>
          <w:p w:rsidR="00143193" w:rsidRPr="00BC0E0A" w:rsidRDefault="00143193" w:rsidP="00E34F9E">
            <w:pPr>
              <w:spacing w:before="100" w:beforeAutospacing="1" w:after="100" w:afterAutospacing="1"/>
              <w:rPr>
                <w:rFonts w:ascii="Times New Roman" w:eastAsia="Times New Roman" w:hAnsi="Times New Roman" w:cs="Times New Roman"/>
                <w:b/>
                <w:sz w:val="18"/>
                <w:szCs w:val="18"/>
              </w:rPr>
            </w:pPr>
            <w:r w:rsidRPr="00BC0E0A">
              <w:rPr>
                <w:rFonts w:ascii="Times New Roman" w:eastAsia="Times New Roman" w:hAnsi="Times New Roman" w:cs="Times New Roman"/>
                <w:b/>
                <w:sz w:val="18"/>
                <w:szCs w:val="18"/>
              </w:rPr>
              <w:t>6. Revenue and other resources generated by the program.</w:t>
            </w:r>
          </w:p>
        </w:tc>
        <w:tc>
          <w:tcPr>
            <w:tcW w:w="2790" w:type="dxa"/>
            <w:gridSpan w:val="2"/>
            <w:shd w:val="clear" w:color="auto" w:fill="EDEDED" w:themeFill="accent3" w:themeFillTint="33"/>
          </w:tcPr>
          <w:p w:rsidR="00143193" w:rsidRPr="00BC0E0A" w:rsidRDefault="00143193" w:rsidP="00E34F9E">
            <w:pP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4" w:type="dxa"/>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ListParagraph"/>
              <w:numPr>
                <w:ilvl w:val="0"/>
                <w:numId w:val="26"/>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Tuition, program allocated (Direct revenue exceed, equal, less than direct instructional costs.</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6"/>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Online program revenues (projected)</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6"/>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Grant income (program applies &amp; receives grants)</w:t>
            </w:r>
            <w:r>
              <w:rPr>
                <w:rFonts w:ascii="Times New Roman" w:eastAsia="Times New Roman" w:hAnsi="Times New Roman" w:cs="Times New Roman"/>
                <w:sz w:val="18"/>
                <w:szCs w:val="18"/>
              </w:rPr>
              <w:t xml:space="preserve"> </w:t>
            </w:r>
            <w:r w:rsidRPr="00287C5D">
              <w:rPr>
                <w:rFonts w:ascii="Times New Roman" w:eastAsia="Times New Roman" w:hAnsi="Times New Roman" w:cs="Times New Roman"/>
                <w:b/>
                <w:i/>
                <w:sz w:val="18"/>
                <w:szCs w:val="18"/>
              </w:rPr>
              <w:t>*Bonus</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shd w:val="clear" w:color="auto" w:fill="EDEDED" w:themeFill="accent3" w:themeFillTint="33"/>
          </w:tcPr>
          <w:p w:rsidR="00143193" w:rsidRPr="00BC0E0A" w:rsidRDefault="00143193" w:rsidP="00E34F9E">
            <w:pPr>
              <w:spacing w:before="100" w:beforeAutospacing="1" w:after="100" w:afterAutospacing="1"/>
              <w:rPr>
                <w:rFonts w:ascii="Times New Roman" w:eastAsia="Times New Roman" w:hAnsi="Times New Roman" w:cs="Times New Roman"/>
                <w:b/>
                <w:sz w:val="18"/>
                <w:szCs w:val="18"/>
              </w:rPr>
            </w:pPr>
            <w:r w:rsidRPr="00BC0E0A">
              <w:rPr>
                <w:rFonts w:ascii="Times New Roman" w:eastAsia="Times New Roman" w:hAnsi="Times New Roman" w:cs="Times New Roman"/>
                <w:b/>
                <w:sz w:val="18"/>
                <w:szCs w:val="18"/>
              </w:rPr>
              <w:t>7. Costs and other expenses associated with the program.</w:t>
            </w:r>
            <w:r w:rsidRPr="00BC0E0A">
              <w:rPr>
                <w:rFonts w:ascii="Times New Roman" w:eastAsia="Times New Roman" w:hAnsi="Times New Roman" w:cs="Times New Roman"/>
                <w:b/>
                <w:i/>
                <w:sz w:val="18"/>
                <w:szCs w:val="18"/>
              </w:rPr>
              <w:t xml:space="preserve"> </w:t>
            </w:r>
          </w:p>
        </w:tc>
        <w:tc>
          <w:tcPr>
            <w:tcW w:w="2790" w:type="dxa"/>
            <w:gridSpan w:val="2"/>
            <w:shd w:val="clear" w:color="auto" w:fill="EDEDED" w:themeFill="accent3" w:themeFillTint="33"/>
          </w:tcPr>
          <w:p w:rsidR="00143193" w:rsidRPr="00BC0E0A" w:rsidRDefault="00143193" w:rsidP="00E34F9E">
            <w:pP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4" w:type="dxa"/>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ListParagraph"/>
              <w:numPr>
                <w:ilvl w:val="0"/>
                <w:numId w:val="27"/>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Direct instructional cost per credit hour. (Cost per credit hour is at average or 5% within)</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7"/>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Allocated institutional support /library, computing, tutoring services, other administrative support. (How is the budget for LRC and student services attached to this program?)</w:t>
            </w:r>
          </w:p>
        </w:tc>
        <w:tc>
          <w:tcPr>
            <w:tcW w:w="2790" w:type="dxa"/>
            <w:gridSpan w:val="2"/>
            <w:vAlign w:val="center"/>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7"/>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Cost of duplicate or redundant courses/programs/services. (Which program or course is considered to be redundant?)</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shd w:val="clear" w:color="auto" w:fill="EDEDED" w:themeFill="accent3" w:themeFillTint="33"/>
          </w:tcPr>
          <w:p w:rsidR="00143193" w:rsidRPr="00BC0E0A" w:rsidRDefault="00143193" w:rsidP="00E34F9E">
            <w:pPr>
              <w:spacing w:before="100" w:beforeAutospacing="1" w:after="100" w:afterAutospacing="1"/>
              <w:rPr>
                <w:rFonts w:ascii="Times New Roman" w:eastAsia="Times New Roman" w:hAnsi="Times New Roman" w:cs="Times New Roman"/>
                <w:b/>
                <w:sz w:val="18"/>
                <w:szCs w:val="18"/>
              </w:rPr>
            </w:pPr>
            <w:r w:rsidRPr="00BC0E0A">
              <w:rPr>
                <w:rFonts w:ascii="Times New Roman" w:eastAsia="Times New Roman" w:hAnsi="Times New Roman" w:cs="Times New Roman"/>
                <w:b/>
                <w:sz w:val="18"/>
                <w:szCs w:val="18"/>
              </w:rPr>
              <w:t>8. History, development, and expectations of the program.</w:t>
            </w:r>
          </w:p>
        </w:tc>
        <w:tc>
          <w:tcPr>
            <w:tcW w:w="2790" w:type="dxa"/>
            <w:gridSpan w:val="2"/>
            <w:shd w:val="clear" w:color="auto" w:fill="EDEDED" w:themeFill="accent3" w:themeFillTint="33"/>
          </w:tcPr>
          <w:p w:rsidR="00143193" w:rsidRPr="00BC0E0A" w:rsidRDefault="00143193" w:rsidP="00E34F9E">
            <w:pP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4" w:type="dxa"/>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ListParagraph"/>
              <w:numPr>
                <w:ilvl w:val="0"/>
                <w:numId w:val="27"/>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Alignment with state or national strategic development plan (Linked directly with section of state or national strategic development plans or at congressional or executive request)</w:t>
            </w:r>
            <w:r w:rsidRPr="00BC0E0A">
              <w:rPr>
                <w:rFonts w:ascii="Times New Roman" w:hAnsi="Times New Roman" w:cs="Times New Roman"/>
                <w:b/>
                <w:sz w:val="18"/>
                <w:szCs w:val="18"/>
              </w:rPr>
              <w:t xml:space="preserve"> </w:t>
            </w:r>
            <w:r w:rsidRPr="0015538A">
              <w:rPr>
                <w:rFonts w:ascii="Times New Roman" w:hAnsi="Times New Roman" w:cs="Times New Roman"/>
                <w:b/>
                <w:i/>
                <w:sz w:val="18"/>
                <w:szCs w:val="18"/>
              </w:rPr>
              <w:t>*Bonus</w:t>
            </w:r>
            <w:r w:rsidRPr="00BC0E0A">
              <w:rPr>
                <w:rFonts w:ascii="Times New Roman" w:hAnsi="Times New Roman" w:cs="Times New Roman"/>
                <w:b/>
                <w:sz w:val="18"/>
                <w:szCs w:val="18"/>
              </w:rPr>
              <w:t xml:space="preserve"> </w:t>
            </w:r>
          </w:p>
        </w:tc>
        <w:tc>
          <w:tcPr>
            <w:tcW w:w="2790" w:type="dxa"/>
            <w:gridSpan w:val="2"/>
            <w:vAlign w:val="center"/>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7"/>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 xml:space="preserve">Extend to which program is “core” to the educational experience. (Program provides foundation for entry/transfer into upper level programs.) </w:t>
            </w:r>
            <w:r w:rsidRPr="00287C5D">
              <w:rPr>
                <w:rFonts w:ascii="Times New Roman" w:eastAsia="Times New Roman" w:hAnsi="Times New Roman" w:cs="Times New Roman"/>
                <w:b/>
                <w:i/>
                <w:sz w:val="18"/>
                <w:szCs w:val="18"/>
              </w:rPr>
              <w:t>*Bonus</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7"/>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State requirements and goals. (Program prepares students meeting state/national certification requirements.</w:t>
            </w:r>
            <w:r>
              <w:rPr>
                <w:rFonts w:ascii="Times New Roman" w:eastAsia="Times New Roman" w:hAnsi="Times New Roman" w:cs="Times New Roman"/>
                <w:sz w:val="18"/>
                <w:szCs w:val="18"/>
              </w:rPr>
              <w:t xml:space="preserve"> </w:t>
            </w:r>
            <w:r w:rsidRPr="00287C5D">
              <w:rPr>
                <w:rFonts w:ascii="Times New Roman" w:eastAsia="Times New Roman" w:hAnsi="Times New Roman" w:cs="Times New Roman"/>
                <w:b/>
                <w:i/>
                <w:sz w:val="18"/>
                <w:szCs w:val="18"/>
              </w:rPr>
              <w:t>*Bonus</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7"/>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Historical enrollment patterns (Increasing, flat, declining).</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shd w:val="clear" w:color="auto" w:fill="EDEDED" w:themeFill="accent3" w:themeFillTint="33"/>
          </w:tcPr>
          <w:p w:rsidR="00143193" w:rsidRPr="00BC0E0A" w:rsidRDefault="00143193" w:rsidP="00E34F9E">
            <w:pPr>
              <w:spacing w:before="100" w:beforeAutospacing="1" w:after="100" w:afterAutospacing="1"/>
              <w:rPr>
                <w:rFonts w:ascii="Times New Roman" w:eastAsia="Times New Roman" w:hAnsi="Times New Roman" w:cs="Times New Roman"/>
                <w:b/>
                <w:sz w:val="18"/>
                <w:szCs w:val="18"/>
              </w:rPr>
            </w:pPr>
            <w:r w:rsidRPr="00BC0E0A">
              <w:rPr>
                <w:rFonts w:ascii="Times New Roman" w:eastAsia="Times New Roman" w:hAnsi="Times New Roman" w:cs="Times New Roman"/>
                <w:b/>
                <w:sz w:val="18"/>
                <w:szCs w:val="18"/>
              </w:rPr>
              <w:t>9. Quality of program inputs and processes.</w:t>
            </w:r>
          </w:p>
        </w:tc>
        <w:tc>
          <w:tcPr>
            <w:tcW w:w="2790" w:type="dxa"/>
            <w:gridSpan w:val="2"/>
            <w:shd w:val="clear" w:color="auto" w:fill="EDEDED" w:themeFill="accent3" w:themeFillTint="33"/>
          </w:tcPr>
          <w:p w:rsidR="00143193" w:rsidRPr="00BC0E0A" w:rsidRDefault="00143193" w:rsidP="00E34F9E">
            <w:pP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4" w:type="dxa"/>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ListParagraph"/>
              <w:numPr>
                <w:ilvl w:val="0"/>
                <w:numId w:val="28"/>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Program review data; specialized program accreditation</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8"/>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Percent of program courses taught by full time faculty (70-80% program courses taught by full time faculty).</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8"/>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Faculty major (70-80% faculty have major in program area)</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8"/>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Faculty student ratios (Faculty/student ratio is at average).</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8"/>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 xml:space="preserve">Adaptability to technology (shows impact, adaptation, </w:t>
            </w:r>
            <w:proofErr w:type="gramStart"/>
            <w:r w:rsidRPr="00BC0E0A">
              <w:rPr>
                <w:rFonts w:ascii="Times New Roman" w:eastAsia="Times New Roman" w:hAnsi="Times New Roman" w:cs="Times New Roman"/>
                <w:sz w:val="18"/>
                <w:szCs w:val="18"/>
              </w:rPr>
              <w:t>use</w:t>
            </w:r>
            <w:proofErr w:type="gramEnd"/>
            <w:r w:rsidRPr="00BC0E0A">
              <w:rPr>
                <w:rFonts w:ascii="Times New Roman" w:eastAsia="Times New Roman" w:hAnsi="Times New Roman" w:cs="Times New Roman"/>
                <w:sz w:val="18"/>
                <w:szCs w:val="18"/>
              </w:rPr>
              <w:t xml:space="preserve"> of new technologies in instruction).</w:t>
            </w:r>
          </w:p>
        </w:tc>
        <w:tc>
          <w:tcPr>
            <w:tcW w:w="2790" w:type="dxa"/>
            <w:gridSpan w:val="2"/>
            <w:vAlign w:val="center"/>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8"/>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Curriculum  (PR provides information on the breath, depth, and level of the discipline)</w:t>
            </w:r>
          </w:p>
        </w:tc>
        <w:tc>
          <w:tcPr>
            <w:tcW w:w="2790" w:type="dxa"/>
            <w:gridSpan w:val="2"/>
            <w:vAlign w:val="center"/>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8"/>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Student Instructional profile data (% of new program students in developmental or remedial courses.)</w:t>
            </w:r>
          </w:p>
        </w:tc>
        <w:tc>
          <w:tcPr>
            <w:tcW w:w="2790" w:type="dxa"/>
            <w:gridSpan w:val="2"/>
            <w:vAlign w:val="center"/>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shd w:val="clear" w:color="auto" w:fill="EDEDED" w:themeFill="accent3" w:themeFillTint="33"/>
          </w:tcPr>
          <w:p w:rsidR="00143193" w:rsidRPr="00BC0E0A" w:rsidRDefault="00143193" w:rsidP="00E34F9E">
            <w:pPr>
              <w:pStyle w:val="ListParagraph"/>
              <w:spacing w:before="100" w:beforeAutospacing="1" w:after="100" w:afterAutospacing="1"/>
              <w:ind w:left="0"/>
              <w:rPr>
                <w:rFonts w:ascii="Times New Roman" w:eastAsia="Times New Roman" w:hAnsi="Times New Roman" w:cs="Times New Roman"/>
                <w:b/>
                <w:sz w:val="18"/>
                <w:szCs w:val="18"/>
              </w:rPr>
            </w:pPr>
            <w:r w:rsidRPr="00BC0E0A">
              <w:rPr>
                <w:rFonts w:ascii="Times New Roman" w:eastAsia="Times New Roman" w:hAnsi="Times New Roman" w:cs="Times New Roman"/>
                <w:b/>
                <w:sz w:val="18"/>
                <w:szCs w:val="18"/>
              </w:rPr>
              <w:t>10. Opportunity analysis of the program</w:t>
            </w:r>
          </w:p>
        </w:tc>
        <w:tc>
          <w:tcPr>
            <w:tcW w:w="2790" w:type="dxa"/>
            <w:gridSpan w:val="2"/>
            <w:shd w:val="clear" w:color="auto" w:fill="EDEDED" w:themeFill="accent3" w:themeFillTint="33"/>
          </w:tcPr>
          <w:p w:rsidR="00143193" w:rsidRPr="00BC0E0A" w:rsidRDefault="00143193" w:rsidP="00E34F9E">
            <w:pP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00" w:type="dxa"/>
            <w:gridSpan w:val="2"/>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c>
          <w:tcPr>
            <w:tcW w:w="414" w:type="dxa"/>
            <w:shd w:val="clear" w:color="auto" w:fill="EDEDED" w:themeFill="accent3" w:themeFillTint="33"/>
            <w:vAlign w:val="center"/>
          </w:tcPr>
          <w:p w:rsidR="00143193" w:rsidRPr="00BC0E0A" w:rsidRDefault="00143193" w:rsidP="00E34F9E">
            <w:pPr>
              <w:jc w:val="center"/>
              <w:rPr>
                <w:rFonts w:ascii="Times New Roman" w:hAnsi="Times New Roman" w:cs="Times New Roman"/>
                <w:b/>
                <w:sz w:val="18"/>
                <w:szCs w:val="18"/>
              </w:rPr>
            </w:pPr>
          </w:p>
        </w:tc>
      </w:tr>
      <w:tr w:rsidR="00143193" w:rsidRPr="00BC0E0A" w:rsidTr="00143193">
        <w:tc>
          <w:tcPr>
            <w:tcW w:w="5346" w:type="dxa"/>
          </w:tcPr>
          <w:p w:rsidR="00143193" w:rsidRPr="00BC0E0A" w:rsidRDefault="00143193" w:rsidP="00143193">
            <w:pPr>
              <w:pStyle w:val="ListParagraph"/>
              <w:numPr>
                <w:ilvl w:val="0"/>
                <w:numId w:val="29"/>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Exploration of alternative delivery mechanisms (PR provides effects on student learning, information, limited information).</w:t>
            </w:r>
          </w:p>
        </w:tc>
        <w:tc>
          <w:tcPr>
            <w:tcW w:w="2790" w:type="dxa"/>
            <w:gridSpan w:val="2"/>
            <w:vAlign w:val="center"/>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9"/>
              </w:numPr>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Formation of productive external partnerships and collaborations (PR provides effects on student learning, information, limited information)</w:t>
            </w:r>
          </w:p>
        </w:tc>
        <w:tc>
          <w:tcPr>
            <w:tcW w:w="2790" w:type="dxa"/>
            <w:gridSpan w:val="2"/>
            <w:vAlign w:val="center"/>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r w:rsidR="00143193" w:rsidRPr="00BC0E0A" w:rsidTr="00143193">
        <w:tc>
          <w:tcPr>
            <w:tcW w:w="5346" w:type="dxa"/>
          </w:tcPr>
          <w:p w:rsidR="00143193" w:rsidRPr="00BC0E0A" w:rsidRDefault="00143193" w:rsidP="00143193">
            <w:pPr>
              <w:pStyle w:val="ListParagraph"/>
              <w:numPr>
                <w:ilvl w:val="0"/>
                <w:numId w:val="29"/>
              </w:numPr>
              <w:spacing w:before="100" w:beforeAutospacing="1"/>
              <w:rPr>
                <w:rFonts w:ascii="Times New Roman" w:eastAsia="Times New Roman" w:hAnsi="Times New Roman" w:cs="Times New Roman"/>
                <w:sz w:val="18"/>
                <w:szCs w:val="18"/>
              </w:rPr>
            </w:pPr>
            <w:r w:rsidRPr="00BC0E0A">
              <w:rPr>
                <w:rFonts w:ascii="Times New Roman" w:eastAsia="Times New Roman" w:hAnsi="Times New Roman" w:cs="Times New Roman"/>
                <w:sz w:val="18"/>
                <w:szCs w:val="18"/>
              </w:rPr>
              <w:t>Opportunity to realign or strengthen existing programs. (PR provides effects on student learning, information, limited information)</w:t>
            </w:r>
          </w:p>
        </w:tc>
        <w:tc>
          <w:tcPr>
            <w:tcW w:w="2790" w:type="dxa"/>
            <w:gridSpan w:val="2"/>
          </w:tcPr>
          <w:p w:rsidR="00143193" w:rsidRPr="00BC0E0A" w:rsidRDefault="00143193" w:rsidP="00E34F9E">
            <w:pP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00" w:type="dxa"/>
            <w:gridSpan w:val="2"/>
            <w:vAlign w:val="center"/>
          </w:tcPr>
          <w:p w:rsidR="00143193" w:rsidRPr="00BC0E0A" w:rsidRDefault="00143193" w:rsidP="00E34F9E">
            <w:pPr>
              <w:jc w:val="center"/>
              <w:rPr>
                <w:rFonts w:ascii="Times New Roman" w:hAnsi="Times New Roman" w:cs="Times New Roman"/>
                <w:sz w:val="18"/>
                <w:szCs w:val="18"/>
              </w:rPr>
            </w:pPr>
          </w:p>
        </w:tc>
        <w:tc>
          <w:tcPr>
            <w:tcW w:w="414" w:type="dxa"/>
            <w:vAlign w:val="center"/>
          </w:tcPr>
          <w:p w:rsidR="00143193" w:rsidRPr="00BC0E0A" w:rsidRDefault="00143193" w:rsidP="00E34F9E">
            <w:pPr>
              <w:jc w:val="center"/>
              <w:rPr>
                <w:rFonts w:ascii="Times New Roman" w:hAnsi="Times New Roman" w:cs="Times New Roman"/>
                <w:sz w:val="18"/>
                <w:szCs w:val="18"/>
              </w:rPr>
            </w:pPr>
          </w:p>
        </w:tc>
      </w:tr>
    </w:tbl>
    <w:p w:rsidR="00143193" w:rsidRPr="00BC0E0A" w:rsidRDefault="00143193" w:rsidP="00143193">
      <w:pPr>
        <w:rPr>
          <w:rFonts w:ascii="Times New Roman" w:hAnsi="Times New Roman" w:cs="Times New Roman"/>
          <w:sz w:val="18"/>
          <w:szCs w:val="18"/>
        </w:rPr>
      </w:pPr>
    </w:p>
    <w:p w:rsidR="00143193" w:rsidRPr="00BC0E0A" w:rsidRDefault="00143193" w:rsidP="00143193">
      <w:pPr>
        <w:tabs>
          <w:tab w:val="left" w:pos="9990"/>
        </w:tabs>
        <w:rPr>
          <w:rFonts w:ascii="Times New Roman" w:hAnsi="Times New Roman" w:cs="Times New Roman"/>
          <w:sz w:val="18"/>
          <w:szCs w:val="18"/>
        </w:rPr>
      </w:pPr>
    </w:p>
    <w:p w:rsidR="00143193" w:rsidRDefault="00143193" w:rsidP="00143193"/>
    <w:p w:rsidR="00143193" w:rsidRDefault="00143193" w:rsidP="00143193">
      <w:pPr>
        <w:rPr>
          <w:rFonts w:ascii="Garamond" w:hAnsi="Garamond"/>
          <w:sz w:val="24"/>
          <w:szCs w:val="24"/>
        </w:rPr>
      </w:pPr>
    </w:p>
    <w:p w:rsidR="00D12B2B" w:rsidRPr="006650BE" w:rsidRDefault="00D12B2B" w:rsidP="00143193">
      <w:pPr>
        <w:ind w:left="1440"/>
        <w:rPr>
          <w:rFonts w:ascii="Garamond" w:hAnsi="Garamond"/>
          <w:sz w:val="24"/>
          <w:szCs w:val="24"/>
        </w:rPr>
      </w:pPr>
    </w:p>
    <w:p w:rsidR="00964C25" w:rsidRPr="00143193" w:rsidRDefault="0024645C" w:rsidP="00D12B2B">
      <w:pPr>
        <w:rPr>
          <w:rFonts w:ascii="Garamond" w:hAnsi="Garamond"/>
          <w:b/>
          <w:noProof/>
          <w:sz w:val="24"/>
          <w:szCs w:val="24"/>
        </w:rPr>
      </w:pPr>
      <w:r>
        <w:rPr>
          <w:rFonts w:ascii="Garamond" w:hAnsi="Garamond"/>
          <w:b/>
          <w:noProof/>
          <w:sz w:val="24"/>
          <w:szCs w:val="24"/>
        </w:rPr>
        <w:t xml:space="preserve">Appendix </w:t>
      </w:r>
      <w:r w:rsidR="000A62A5">
        <w:rPr>
          <w:rFonts w:ascii="Garamond" w:hAnsi="Garamond"/>
          <w:b/>
          <w:noProof/>
          <w:sz w:val="24"/>
          <w:szCs w:val="24"/>
        </w:rPr>
        <w:t>B</w:t>
      </w:r>
      <w:r w:rsidR="00143193" w:rsidRPr="00143193">
        <w:rPr>
          <w:rFonts w:ascii="Garamond" w:hAnsi="Garamond"/>
          <w:b/>
          <w:noProof/>
          <w:sz w:val="24"/>
          <w:szCs w:val="24"/>
        </w:rPr>
        <w:t>: Summary Rating Chart</w:t>
      </w:r>
    </w:p>
    <w:p w:rsidR="00143193" w:rsidRPr="006650BE" w:rsidRDefault="00143193" w:rsidP="00D12B2B">
      <w:pPr>
        <w:rPr>
          <w:rFonts w:ascii="Garamond" w:hAnsi="Garamond"/>
          <w:sz w:val="24"/>
          <w:szCs w:val="24"/>
        </w:rPr>
      </w:pPr>
      <w:r w:rsidRPr="006650BE">
        <w:rPr>
          <w:rFonts w:ascii="Garamond" w:hAnsi="Garamond"/>
          <w:noProof/>
          <w:sz w:val="24"/>
          <w:szCs w:val="24"/>
        </w:rPr>
        <w:drawing>
          <wp:inline distT="0" distB="0" distL="0" distR="0" wp14:anchorId="77151820" wp14:editId="7F4B6DDF">
            <wp:extent cx="5943600" cy="420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06875"/>
                    </a:xfrm>
                    <a:prstGeom prst="rect">
                      <a:avLst/>
                    </a:prstGeom>
                    <a:noFill/>
                    <a:ln>
                      <a:noFill/>
                    </a:ln>
                  </pic:spPr>
                </pic:pic>
              </a:graphicData>
            </a:graphic>
          </wp:inline>
        </w:drawing>
      </w:r>
    </w:p>
    <w:p w:rsidR="00D12B2B" w:rsidRPr="006650BE" w:rsidRDefault="00D12B2B" w:rsidP="00D12B2B">
      <w:pPr>
        <w:ind w:left="720"/>
        <w:rPr>
          <w:rFonts w:ascii="Garamond" w:hAnsi="Garamond"/>
          <w:sz w:val="24"/>
          <w:szCs w:val="24"/>
        </w:rPr>
      </w:pPr>
    </w:p>
    <w:p w:rsidR="00D12B2B" w:rsidRPr="006650BE" w:rsidRDefault="00D12B2B">
      <w:pPr>
        <w:rPr>
          <w:rFonts w:ascii="Garamond" w:hAnsi="Garamond"/>
          <w:sz w:val="24"/>
          <w:szCs w:val="24"/>
        </w:rPr>
      </w:pPr>
    </w:p>
    <w:p w:rsidR="00D12B2B" w:rsidRPr="006650BE" w:rsidRDefault="00D12B2B">
      <w:pPr>
        <w:rPr>
          <w:rFonts w:ascii="Garamond" w:hAnsi="Garamond"/>
          <w:sz w:val="24"/>
          <w:szCs w:val="24"/>
        </w:rPr>
      </w:pPr>
    </w:p>
    <w:p w:rsidR="0024645C" w:rsidRDefault="0024645C">
      <w:pPr>
        <w:rPr>
          <w:rFonts w:ascii="Garamond" w:hAnsi="Garamond"/>
          <w:sz w:val="24"/>
          <w:szCs w:val="24"/>
        </w:rPr>
        <w:sectPr w:rsidR="0024645C">
          <w:footerReference w:type="default" r:id="rId9"/>
          <w:pgSz w:w="12240" w:h="15840"/>
          <w:pgMar w:top="1440" w:right="1440" w:bottom="1440" w:left="1440" w:header="720" w:footer="720" w:gutter="0"/>
          <w:cols w:space="720"/>
          <w:docGrid w:linePitch="360"/>
        </w:sectPr>
      </w:pPr>
    </w:p>
    <w:p w:rsidR="00D12B2B" w:rsidRDefault="0024645C">
      <w:pPr>
        <w:rPr>
          <w:rFonts w:ascii="Garamond" w:hAnsi="Garamond"/>
          <w:sz w:val="24"/>
          <w:szCs w:val="24"/>
        </w:rPr>
      </w:pPr>
      <w:r>
        <w:rPr>
          <w:rFonts w:ascii="Garamond" w:hAnsi="Garamond"/>
          <w:sz w:val="24"/>
          <w:szCs w:val="24"/>
        </w:rPr>
        <w:lastRenderedPageBreak/>
        <w:t>Appendix C: Nomination Memorandum</w:t>
      </w:r>
    </w:p>
    <w:sectPr w:rsidR="00D12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78" w:rsidRDefault="005F4D78" w:rsidP="00A26167">
      <w:pPr>
        <w:spacing w:after="0" w:line="240" w:lineRule="auto"/>
      </w:pPr>
      <w:r>
        <w:separator/>
      </w:r>
    </w:p>
  </w:endnote>
  <w:endnote w:type="continuationSeparator" w:id="0">
    <w:p w:rsidR="005F4D78" w:rsidRDefault="005F4D78" w:rsidP="00A2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1517"/>
      <w:docPartObj>
        <w:docPartGallery w:val="Page Numbers (Bottom of Page)"/>
        <w:docPartUnique/>
      </w:docPartObj>
    </w:sdtPr>
    <w:sdtEndPr>
      <w:rPr>
        <w:noProof/>
      </w:rPr>
    </w:sdtEndPr>
    <w:sdtContent>
      <w:p w:rsidR="00A0646A" w:rsidRDefault="00A064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0646A" w:rsidRDefault="00A0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78" w:rsidRDefault="005F4D78" w:rsidP="00A26167">
      <w:pPr>
        <w:spacing w:after="0" w:line="240" w:lineRule="auto"/>
      </w:pPr>
      <w:r>
        <w:separator/>
      </w:r>
    </w:p>
  </w:footnote>
  <w:footnote w:type="continuationSeparator" w:id="0">
    <w:p w:rsidR="005F4D78" w:rsidRDefault="005F4D78" w:rsidP="00A26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5E1"/>
    <w:multiLevelType w:val="hybridMultilevel"/>
    <w:tmpl w:val="E1646C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C0F60"/>
    <w:multiLevelType w:val="hybridMultilevel"/>
    <w:tmpl w:val="9D5AEE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BE6B1F"/>
    <w:multiLevelType w:val="hybridMultilevel"/>
    <w:tmpl w:val="B662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157B0"/>
    <w:multiLevelType w:val="hybridMultilevel"/>
    <w:tmpl w:val="7A2C5F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C4495A"/>
    <w:multiLevelType w:val="hybridMultilevel"/>
    <w:tmpl w:val="3B5C92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427432"/>
    <w:multiLevelType w:val="hybridMultilevel"/>
    <w:tmpl w:val="79F2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7C3BE4"/>
    <w:multiLevelType w:val="hybridMultilevel"/>
    <w:tmpl w:val="F93A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14EDB"/>
    <w:multiLevelType w:val="hybridMultilevel"/>
    <w:tmpl w:val="A9F837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C61A95"/>
    <w:multiLevelType w:val="hybridMultilevel"/>
    <w:tmpl w:val="FFBC6AA0"/>
    <w:lvl w:ilvl="0" w:tplc="04090005">
      <w:start w:val="1"/>
      <w:numFmt w:val="bullet"/>
      <w:lvlText w:val=""/>
      <w:lvlJc w:val="left"/>
      <w:pPr>
        <w:ind w:left="3678" w:hanging="360"/>
      </w:pPr>
      <w:rPr>
        <w:rFonts w:ascii="Wingdings" w:hAnsi="Wingdings" w:hint="default"/>
      </w:rPr>
    </w:lvl>
    <w:lvl w:ilvl="1" w:tplc="04090003" w:tentative="1">
      <w:start w:val="1"/>
      <w:numFmt w:val="bullet"/>
      <w:lvlText w:val="o"/>
      <w:lvlJc w:val="left"/>
      <w:pPr>
        <w:ind w:left="4398" w:hanging="360"/>
      </w:pPr>
      <w:rPr>
        <w:rFonts w:ascii="Courier New" w:hAnsi="Courier New" w:cs="Courier New" w:hint="default"/>
      </w:rPr>
    </w:lvl>
    <w:lvl w:ilvl="2" w:tplc="04090005" w:tentative="1">
      <w:start w:val="1"/>
      <w:numFmt w:val="bullet"/>
      <w:lvlText w:val=""/>
      <w:lvlJc w:val="left"/>
      <w:pPr>
        <w:ind w:left="5118" w:hanging="360"/>
      </w:pPr>
      <w:rPr>
        <w:rFonts w:ascii="Wingdings" w:hAnsi="Wingdings" w:hint="default"/>
      </w:rPr>
    </w:lvl>
    <w:lvl w:ilvl="3" w:tplc="04090001" w:tentative="1">
      <w:start w:val="1"/>
      <w:numFmt w:val="bullet"/>
      <w:lvlText w:val=""/>
      <w:lvlJc w:val="left"/>
      <w:pPr>
        <w:ind w:left="5838" w:hanging="360"/>
      </w:pPr>
      <w:rPr>
        <w:rFonts w:ascii="Symbol" w:hAnsi="Symbol" w:hint="default"/>
      </w:rPr>
    </w:lvl>
    <w:lvl w:ilvl="4" w:tplc="04090003" w:tentative="1">
      <w:start w:val="1"/>
      <w:numFmt w:val="bullet"/>
      <w:lvlText w:val="o"/>
      <w:lvlJc w:val="left"/>
      <w:pPr>
        <w:ind w:left="6558" w:hanging="360"/>
      </w:pPr>
      <w:rPr>
        <w:rFonts w:ascii="Courier New" w:hAnsi="Courier New" w:cs="Courier New" w:hint="default"/>
      </w:rPr>
    </w:lvl>
    <w:lvl w:ilvl="5" w:tplc="04090005" w:tentative="1">
      <w:start w:val="1"/>
      <w:numFmt w:val="bullet"/>
      <w:lvlText w:val=""/>
      <w:lvlJc w:val="left"/>
      <w:pPr>
        <w:ind w:left="7278" w:hanging="360"/>
      </w:pPr>
      <w:rPr>
        <w:rFonts w:ascii="Wingdings" w:hAnsi="Wingdings" w:hint="default"/>
      </w:rPr>
    </w:lvl>
    <w:lvl w:ilvl="6" w:tplc="04090001" w:tentative="1">
      <w:start w:val="1"/>
      <w:numFmt w:val="bullet"/>
      <w:lvlText w:val=""/>
      <w:lvlJc w:val="left"/>
      <w:pPr>
        <w:ind w:left="7998" w:hanging="360"/>
      </w:pPr>
      <w:rPr>
        <w:rFonts w:ascii="Symbol" w:hAnsi="Symbol" w:hint="default"/>
      </w:rPr>
    </w:lvl>
    <w:lvl w:ilvl="7" w:tplc="04090003" w:tentative="1">
      <w:start w:val="1"/>
      <w:numFmt w:val="bullet"/>
      <w:lvlText w:val="o"/>
      <w:lvlJc w:val="left"/>
      <w:pPr>
        <w:ind w:left="8718" w:hanging="360"/>
      </w:pPr>
      <w:rPr>
        <w:rFonts w:ascii="Courier New" w:hAnsi="Courier New" w:cs="Courier New" w:hint="default"/>
      </w:rPr>
    </w:lvl>
    <w:lvl w:ilvl="8" w:tplc="04090005" w:tentative="1">
      <w:start w:val="1"/>
      <w:numFmt w:val="bullet"/>
      <w:lvlText w:val=""/>
      <w:lvlJc w:val="left"/>
      <w:pPr>
        <w:ind w:left="9438" w:hanging="360"/>
      </w:pPr>
      <w:rPr>
        <w:rFonts w:ascii="Wingdings" w:hAnsi="Wingdings" w:hint="default"/>
      </w:rPr>
    </w:lvl>
  </w:abstractNum>
  <w:abstractNum w:abstractNumId="9">
    <w:nsid w:val="3320220E"/>
    <w:multiLevelType w:val="hybridMultilevel"/>
    <w:tmpl w:val="6868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A92C35"/>
    <w:multiLevelType w:val="hybridMultilevel"/>
    <w:tmpl w:val="48F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11625"/>
    <w:multiLevelType w:val="hybridMultilevel"/>
    <w:tmpl w:val="6478B3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BDC2D21"/>
    <w:multiLevelType w:val="hybridMultilevel"/>
    <w:tmpl w:val="FACC2B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FF3399"/>
    <w:multiLevelType w:val="hybridMultilevel"/>
    <w:tmpl w:val="81A62C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730389"/>
    <w:multiLevelType w:val="hybridMultilevel"/>
    <w:tmpl w:val="B76C59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C76B4C"/>
    <w:multiLevelType w:val="hybridMultilevel"/>
    <w:tmpl w:val="37701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9B3F37"/>
    <w:multiLevelType w:val="hybridMultilevel"/>
    <w:tmpl w:val="AF38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BE750F"/>
    <w:multiLevelType w:val="hybridMultilevel"/>
    <w:tmpl w:val="39E090F6"/>
    <w:lvl w:ilvl="0" w:tplc="04090005">
      <w:start w:val="1"/>
      <w:numFmt w:val="bullet"/>
      <w:lvlText w:val=""/>
      <w:lvlJc w:val="left"/>
      <w:pPr>
        <w:ind w:left="3843" w:hanging="360"/>
      </w:pPr>
      <w:rPr>
        <w:rFonts w:ascii="Wingdings" w:hAnsi="Wingdings" w:hint="default"/>
      </w:rPr>
    </w:lvl>
    <w:lvl w:ilvl="1" w:tplc="04090003" w:tentative="1">
      <w:start w:val="1"/>
      <w:numFmt w:val="bullet"/>
      <w:lvlText w:val="o"/>
      <w:lvlJc w:val="left"/>
      <w:pPr>
        <w:ind w:left="4563" w:hanging="360"/>
      </w:pPr>
      <w:rPr>
        <w:rFonts w:ascii="Courier New" w:hAnsi="Courier New" w:cs="Courier New" w:hint="default"/>
      </w:rPr>
    </w:lvl>
    <w:lvl w:ilvl="2" w:tplc="04090005" w:tentative="1">
      <w:start w:val="1"/>
      <w:numFmt w:val="bullet"/>
      <w:lvlText w:val=""/>
      <w:lvlJc w:val="left"/>
      <w:pPr>
        <w:ind w:left="5283" w:hanging="360"/>
      </w:pPr>
      <w:rPr>
        <w:rFonts w:ascii="Wingdings" w:hAnsi="Wingdings" w:hint="default"/>
      </w:rPr>
    </w:lvl>
    <w:lvl w:ilvl="3" w:tplc="04090001" w:tentative="1">
      <w:start w:val="1"/>
      <w:numFmt w:val="bullet"/>
      <w:lvlText w:val=""/>
      <w:lvlJc w:val="left"/>
      <w:pPr>
        <w:ind w:left="6003" w:hanging="360"/>
      </w:pPr>
      <w:rPr>
        <w:rFonts w:ascii="Symbol" w:hAnsi="Symbol" w:hint="default"/>
      </w:rPr>
    </w:lvl>
    <w:lvl w:ilvl="4" w:tplc="04090003" w:tentative="1">
      <w:start w:val="1"/>
      <w:numFmt w:val="bullet"/>
      <w:lvlText w:val="o"/>
      <w:lvlJc w:val="left"/>
      <w:pPr>
        <w:ind w:left="6723" w:hanging="360"/>
      </w:pPr>
      <w:rPr>
        <w:rFonts w:ascii="Courier New" w:hAnsi="Courier New" w:cs="Courier New" w:hint="default"/>
      </w:rPr>
    </w:lvl>
    <w:lvl w:ilvl="5" w:tplc="04090005" w:tentative="1">
      <w:start w:val="1"/>
      <w:numFmt w:val="bullet"/>
      <w:lvlText w:val=""/>
      <w:lvlJc w:val="left"/>
      <w:pPr>
        <w:ind w:left="7443" w:hanging="360"/>
      </w:pPr>
      <w:rPr>
        <w:rFonts w:ascii="Wingdings" w:hAnsi="Wingdings" w:hint="default"/>
      </w:rPr>
    </w:lvl>
    <w:lvl w:ilvl="6" w:tplc="04090001" w:tentative="1">
      <w:start w:val="1"/>
      <w:numFmt w:val="bullet"/>
      <w:lvlText w:val=""/>
      <w:lvlJc w:val="left"/>
      <w:pPr>
        <w:ind w:left="8163" w:hanging="360"/>
      </w:pPr>
      <w:rPr>
        <w:rFonts w:ascii="Symbol" w:hAnsi="Symbol" w:hint="default"/>
      </w:rPr>
    </w:lvl>
    <w:lvl w:ilvl="7" w:tplc="04090003" w:tentative="1">
      <w:start w:val="1"/>
      <w:numFmt w:val="bullet"/>
      <w:lvlText w:val="o"/>
      <w:lvlJc w:val="left"/>
      <w:pPr>
        <w:ind w:left="8883" w:hanging="360"/>
      </w:pPr>
      <w:rPr>
        <w:rFonts w:ascii="Courier New" w:hAnsi="Courier New" w:cs="Courier New" w:hint="default"/>
      </w:rPr>
    </w:lvl>
    <w:lvl w:ilvl="8" w:tplc="04090005" w:tentative="1">
      <w:start w:val="1"/>
      <w:numFmt w:val="bullet"/>
      <w:lvlText w:val=""/>
      <w:lvlJc w:val="left"/>
      <w:pPr>
        <w:ind w:left="9603" w:hanging="360"/>
      </w:pPr>
      <w:rPr>
        <w:rFonts w:ascii="Wingdings" w:hAnsi="Wingdings" w:hint="default"/>
      </w:rPr>
    </w:lvl>
  </w:abstractNum>
  <w:abstractNum w:abstractNumId="18">
    <w:nsid w:val="4C7C657E"/>
    <w:multiLevelType w:val="hybridMultilevel"/>
    <w:tmpl w:val="DF127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F23B9"/>
    <w:multiLevelType w:val="hybridMultilevel"/>
    <w:tmpl w:val="4DE00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87195"/>
    <w:multiLevelType w:val="hybridMultilevel"/>
    <w:tmpl w:val="CF905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54075D"/>
    <w:multiLevelType w:val="hybridMultilevel"/>
    <w:tmpl w:val="E38AB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7677A4"/>
    <w:multiLevelType w:val="hybridMultilevel"/>
    <w:tmpl w:val="60A87A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8419FC"/>
    <w:multiLevelType w:val="hybridMultilevel"/>
    <w:tmpl w:val="093C8E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E25ED1"/>
    <w:multiLevelType w:val="hybridMultilevel"/>
    <w:tmpl w:val="6A9E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4C5BA2"/>
    <w:multiLevelType w:val="hybridMultilevel"/>
    <w:tmpl w:val="03681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2E6BEF"/>
    <w:multiLevelType w:val="hybridMultilevel"/>
    <w:tmpl w:val="E50238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645963"/>
    <w:multiLevelType w:val="hybridMultilevel"/>
    <w:tmpl w:val="CB029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A92723"/>
    <w:multiLevelType w:val="hybridMultilevel"/>
    <w:tmpl w:val="C324B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1140F1"/>
    <w:multiLevelType w:val="hybridMultilevel"/>
    <w:tmpl w:val="3ACAE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FEE2D76"/>
    <w:multiLevelType w:val="hybridMultilevel"/>
    <w:tmpl w:val="68C6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0"/>
  </w:num>
  <w:num w:numId="4">
    <w:abstractNumId w:val="7"/>
  </w:num>
  <w:num w:numId="5">
    <w:abstractNumId w:val="16"/>
  </w:num>
  <w:num w:numId="6">
    <w:abstractNumId w:val="20"/>
  </w:num>
  <w:num w:numId="7">
    <w:abstractNumId w:val="0"/>
  </w:num>
  <w:num w:numId="8">
    <w:abstractNumId w:val="19"/>
  </w:num>
  <w:num w:numId="9">
    <w:abstractNumId w:val="4"/>
  </w:num>
  <w:num w:numId="10">
    <w:abstractNumId w:val="12"/>
  </w:num>
  <w:num w:numId="11">
    <w:abstractNumId w:val="1"/>
  </w:num>
  <w:num w:numId="12">
    <w:abstractNumId w:val="13"/>
  </w:num>
  <w:num w:numId="13">
    <w:abstractNumId w:val="17"/>
  </w:num>
  <w:num w:numId="14">
    <w:abstractNumId w:val="18"/>
  </w:num>
  <w:num w:numId="15">
    <w:abstractNumId w:val="14"/>
  </w:num>
  <w:num w:numId="16">
    <w:abstractNumId w:val="8"/>
  </w:num>
  <w:num w:numId="17">
    <w:abstractNumId w:val="26"/>
  </w:num>
  <w:num w:numId="18">
    <w:abstractNumId w:val="3"/>
  </w:num>
  <w:num w:numId="19">
    <w:abstractNumId w:val="23"/>
  </w:num>
  <w:num w:numId="20">
    <w:abstractNumId w:val="22"/>
  </w:num>
  <w:num w:numId="21">
    <w:abstractNumId w:val="9"/>
  </w:num>
  <w:num w:numId="22">
    <w:abstractNumId w:val="25"/>
  </w:num>
  <w:num w:numId="23">
    <w:abstractNumId w:val="24"/>
  </w:num>
  <w:num w:numId="24">
    <w:abstractNumId w:val="27"/>
  </w:num>
  <w:num w:numId="25">
    <w:abstractNumId w:val="30"/>
  </w:num>
  <w:num w:numId="26">
    <w:abstractNumId w:val="15"/>
  </w:num>
  <w:num w:numId="27">
    <w:abstractNumId w:val="28"/>
  </w:num>
  <w:num w:numId="28">
    <w:abstractNumId w:val="5"/>
  </w:num>
  <w:num w:numId="29">
    <w:abstractNumId w:val="6"/>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2B"/>
    <w:rsid w:val="00010635"/>
    <w:rsid w:val="000454E6"/>
    <w:rsid w:val="0008326F"/>
    <w:rsid w:val="000A62A5"/>
    <w:rsid w:val="000C57B6"/>
    <w:rsid w:val="000D01FA"/>
    <w:rsid w:val="000E44CC"/>
    <w:rsid w:val="000E77AF"/>
    <w:rsid w:val="00124E5F"/>
    <w:rsid w:val="001262A0"/>
    <w:rsid w:val="00143193"/>
    <w:rsid w:val="00154F8B"/>
    <w:rsid w:val="001623D4"/>
    <w:rsid w:val="00166F66"/>
    <w:rsid w:val="00176F6C"/>
    <w:rsid w:val="001877CE"/>
    <w:rsid w:val="001A2B73"/>
    <w:rsid w:val="001C105D"/>
    <w:rsid w:val="001C2AE8"/>
    <w:rsid w:val="001F67F5"/>
    <w:rsid w:val="00211A1C"/>
    <w:rsid w:val="00242EF7"/>
    <w:rsid w:val="00244377"/>
    <w:rsid w:val="0024645C"/>
    <w:rsid w:val="002534AA"/>
    <w:rsid w:val="00281274"/>
    <w:rsid w:val="002D0E62"/>
    <w:rsid w:val="002F6760"/>
    <w:rsid w:val="00324A67"/>
    <w:rsid w:val="00344BA3"/>
    <w:rsid w:val="00347C49"/>
    <w:rsid w:val="00354A29"/>
    <w:rsid w:val="003604C5"/>
    <w:rsid w:val="003C3DDD"/>
    <w:rsid w:val="003C6509"/>
    <w:rsid w:val="003E10E3"/>
    <w:rsid w:val="003F46DC"/>
    <w:rsid w:val="004463E9"/>
    <w:rsid w:val="00462B54"/>
    <w:rsid w:val="00465209"/>
    <w:rsid w:val="004C073D"/>
    <w:rsid w:val="004C158D"/>
    <w:rsid w:val="004C255B"/>
    <w:rsid w:val="00517235"/>
    <w:rsid w:val="00523494"/>
    <w:rsid w:val="00540DB4"/>
    <w:rsid w:val="005655E8"/>
    <w:rsid w:val="00566AB5"/>
    <w:rsid w:val="00582E40"/>
    <w:rsid w:val="005F4D78"/>
    <w:rsid w:val="00613A8C"/>
    <w:rsid w:val="00644C8B"/>
    <w:rsid w:val="006650BE"/>
    <w:rsid w:val="00682C8C"/>
    <w:rsid w:val="00683CD1"/>
    <w:rsid w:val="00686BEB"/>
    <w:rsid w:val="006B458A"/>
    <w:rsid w:val="006C6018"/>
    <w:rsid w:val="006D18A9"/>
    <w:rsid w:val="006E05A5"/>
    <w:rsid w:val="006F1404"/>
    <w:rsid w:val="007307BF"/>
    <w:rsid w:val="00736DF3"/>
    <w:rsid w:val="007500E5"/>
    <w:rsid w:val="00772D0A"/>
    <w:rsid w:val="007A7394"/>
    <w:rsid w:val="0081540F"/>
    <w:rsid w:val="008605AF"/>
    <w:rsid w:val="008C0DAB"/>
    <w:rsid w:val="008D287E"/>
    <w:rsid w:val="008E08C7"/>
    <w:rsid w:val="008E1E3B"/>
    <w:rsid w:val="008E3875"/>
    <w:rsid w:val="00921E2F"/>
    <w:rsid w:val="00955A60"/>
    <w:rsid w:val="00964C25"/>
    <w:rsid w:val="00965461"/>
    <w:rsid w:val="00976741"/>
    <w:rsid w:val="009A3B1D"/>
    <w:rsid w:val="00A05064"/>
    <w:rsid w:val="00A0646A"/>
    <w:rsid w:val="00A13D4F"/>
    <w:rsid w:val="00A24059"/>
    <w:rsid w:val="00A26167"/>
    <w:rsid w:val="00A44900"/>
    <w:rsid w:val="00A66CC8"/>
    <w:rsid w:val="00AE23D7"/>
    <w:rsid w:val="00B00CA7"/>
    <w:rsid w:val="00B217B9"/>
    <w:rsid w:val="00B260BD"/>
    <w:rsid w:val="00B3549A"/>
    <w:rsid w:val="00B566A4"/>
    <w:rsid w:val="00B87572"/>
    <w:rsid w:val="00B90369"/>
    <w:rsid w:val="00BA3668"/>
    <w:rsid w:val="00BD4CE1"/>
    <w:rsid w:val="00C005D3"/>
    <w:rsid w:val="00C058DF"/>
    <w:rsid w:val="00C05B4C"/>
    <w:rsid w:val="00C24BA3"/>
    <w:rsid w:val="00C316C4"/>
    <w:rsid w:val="00C40F98"/>
    <w:rsid w:val="00CC19F0"/>
    <w:rsid w:val="00CC6693"/>
    <w:rsid w:val="00D06CD2"/>
    <w:rsid w:val="00D12B2B"/>
    <w:rsid w:val="00D13609"/>
    <w:rsid w:val="00D225E2"/>
    <w:rsid w:val="00D721DD"/>
    <w:rsid w:val="00DA348C"/>
    <w:rsid w:val="00DB19DC"/>
    <w:rsid w:val="00E03FD8"/>
    <w:rsid w:val="00E41D99"/>
    <w:rsid w:val="00E63F03"/>
    <w:rsid w:val="00E7110E"/>
    <w:rsid w:val="00E80BC8"/>
    <w:rsid w:val="00E9172F"/>
    <w:rsid w:val="00EC7072"/>
    <w:rsid w:val="00ED7EF6"/>
    <w:rsid w:val="00EF7747"/>
    <w:rsid w:val="00F87128"/>
    <w:rsid w:val="00FB2154"/>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67"/>
  </w:style>
  <w:style w:type="paragraph" w:styleId="Footer">
    <w:name w:val="footer"/>
    <w:basedOn w:val="Normal"/>
    <w:link w:val="FooterChar"/>
    <w:uiPriority w:val="99"/>
    <w:unhideWhenUsed/>
    <w:rsid w:val="00A2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67"/>
  </w:style>
  <w:style w:type="table" w:styleId="TableGrid">
    <w:name w:val="Table Grid"/>
    <w:basedOn w:val="TableNormal"/>
    <w:uiPriority w:val="59"/>
    <w:rsid w:val="00A24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059"/>
    <w:pPr>
      <w:ind w:left="720"/>
      <w:contextualSpacing/>
    </w:pPr>
  </w:style>
  <w:style w:type="paragraph" w:styleId="NoSpacing">
    <w:name w:val="No Spacing"/>
    <w:uiPriority w:val="1"/>
    <w:qFormat/>
    <w:rsid w:val="00143193"/>
    <w:pPr>
      <w:spacing w:after="0" w:line="240" w:lineRule="auto"/>
    </w:pPr>
  </w:style>
  <w:style w:type="paragraph" w:styleId="BalloonText">
    <w:name w:val="Balloon Text"/>
    <w:basedOn w:val="Normal"/>
    <w:link w:val="BalloonTextChar"/>
    <w:uiPriority w:val="99"/>
    <w:semiHidden/>
    <w:unhideWhenUsed/>
    <w:rsid w:val="00C2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67"/>
  </w:style>
  <w:style w:type="paragraph" w:styleId="Footer">
    <w:name w:val="footer"/>
    <w:basedOn w:val="Normal"/>
    <w:link w:val="FooterChar"/>
    <w:uiPriority w:val="99"/>
    <w:unhideWhenUsed/>
    <w:rsid w:val="00A2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67"/>
  </w:style>
  <w:style w:type="table" w:styleId="TableGrid">
    <w:name w:val="Table Grid"/>
    <w:basedOn w:val="TableNormal"/>
    <w:uiPriority w:val="59"/>
    <w:rsid w:val="00A24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059"/>
    <w:pPr>
      <w:ind w:left="720"/>
      <w:contextualSpacing/>
    </w:pPr>
  </w:style>
  <w:style w:type="paragraph" w:styleId="NoSpacing">
    <w:name w:val="No Spacing"/>
    <w:uiPriority w:val="1"/>
    <w:qFormat/>
    <w:rsid w:val="00143193"/>
    <w:pPr>
      <w:spacing w:after="0" w:line="240" w:lineRule="auto"/>
    </w:pPr>
  </w:style>
  <w:style w:type="paragraph" w:styleId="BalloonText">
    <w:name w:val="Balloon Text"/>
    <w:basedOn w:val="Normal"/>
    <w:link w:val="BalloonTextChar"/>
    <w:uiPriority w:val="99"/>
    <w:semiHidden/>
    <w:unhideWhenUsed/>
    <w:rsid w:val="00C2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724">
      <w:bodyDiv w:val="1"/>
      <w:marLeft w:val="0"/>
      <w:marRight w:val="0"/>
      <w:marTop w:val="0"/>
      <w:marBottom w:val="0"/>
      <w:divBdr>
        <w:top w:val="none" w:sz="0" w:space="0" w:color="auto"/>
        <w:left w:val="none" w:sz="0" w:space="0" w:color="auto"/>
        <w:bottom w:val="none" w:sz="0" w:space="0" w:color="auto"/>
        <w:right w:val="none" w:sz="0" w:space="0" w:color="auto"/>
      </w:divBdr>
    </w:div>
    <w:div w:id="329454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728">
          <w:marLeft w:val="0"/>
          <w:marRight w:val="0"/>
          <w:marTop w:val="0"/>
          <w:marBottom w:val="0"/>
          <w:divBdr>
            <w:top w:val="none" w:sz="0" w:space="0" w:color="auto"/>
            <w:left w:val="none" w:sz="0" w:space="0" w:color="auto"/>
            <w:bottom w:val="none" w:sz="0" w:space="0" w:color="auto"/>
            <w:right w:val="none" w:sz="0" w:space="0" w:color="auto"/>
          </w:divBdr>
        </w:div>
        <w:div w:id="1514149636">
          <w:marLeft w:val="0"/>
          <w:marRight w:val="0"/>
          <w:marTop w:val="0"/>
          <w:marBottom w:val="0"/>
          <w:divBdr>
            <w:top w:val="none" w:sz="0" w:space="0" w:color="auto"/>
            <w:left w:val="none" w:sz="0" w:space="0" w:color="auto"/>
            <w:bottom w:val="none" w:sz="0" w:space="0" w:color="auto"/>
            <w:right w:val="none" w:sz="0" w:space="0" w:color="auto"/>
          </w:divBdr>
        </w:div>
      </w:divsChild>
    </w:div>
    <w:div w:id="459610842">
      <w:bodyDiv w:val="1"/>
      <w:marLeft w:val="0"/>
      <w:marRight w:val="0"/>
      <w:marTop w:val="0"/>
      <w:marBottom w:val="0"/>
      <w:divBdr>
        <w:top w:val="none" w:sz="0" w:space="0" w:color="auto"/>
        <w:left w:val="none" w:sz="0" w:space="0" w:color="auto"/>
        <w:bottom w:val="none" w:sz="0" w:space="0" w:color="auto"/>
        <w:right w:val="none" w:sz="0" w:space="0" w:color="auto"/>
      </w:divBdr>
    </w:div>
    <w:div w:id="487013741">
      <w:bodyDiv w:val="1"/>
      <w:marLeft w:val="0"/>
      <w:marRight w:val="0"/>
      <w:marTop w:val="0"/>
      <w:marBottom w:val="0"/>
      <w:divBdr>
        <w:top w:val="none" w:sz="0" w:space="0" w:color="auto"/>
        <w:left w:val="none" w:sz="0" w:space="0" w:color="auto"/>
        <w:bottom w:val="none" w:sz="0" w:space="0" w:color="auto"/>
        <w:right w:val="none" w:sz="0" w:space="0" w:color="auto"/>
      </w:divBdr>
    </w:div>
    <w:div w:id="492063939">
      <w:bodyDiv w:val="1"/>
      <w:marLeft w:val="0"/>
      <w:marRight w:val="0"/>
      <w:marTop w:val="0"/>
      <w:marBottom w:val="0"/>
      <w:divBdr>
        <w:top w:val="none" w:sz="0" w:space="0" w:color="auto"/>
        <w:left w:val="none" w:sz="0" w:space="0" w:color="auto"/>
        <w:bottom w:val="none" w:sz="0" w:space="0" w:color="auto"/>
        <w:right w:val="none" w:sz="0" w:space="0" w:color="auto"/>
      </w:divBdr>
    </w:div>
    <w:div w:id="537470327">
      <w:bodyDiv w:val="1"/>
      <w:marLeft w:val="0"/>
      <w:marRight w:val="0"/>
      <w:marTop w:val="0"/>
      <w:marBottom w:val="0"/>
      <w:divBdr>
        <w:top w:val="none" w:sz="0" w:space="0" w:color="auto"/>
        <w:left w:val="none" w:sz="0" w:space="0" w:color="auto"/>
        <w:bottom w:val="none" w:sz="0" w:space="0" w:color="auto"/>
        <w:right w:val="none" w:sz="0" w:space="0" w:color="auto"/>
      </w:divBdr>
    </w:div>
    <w:div w:id="684526106">
      <w:bodyDiv w:val="1"/>
      <w:marLeft w:val="0"/>
      <w:marRight w:val="0"/>
      <w:marTop w:val="0"/>
      <w:marBottom w:val="0"/>
      <w:divBdr>
        <w:top w:val="none" w:sz="0" w:space="0" w:color="auto"/>
        <w:left w:val="none" w:sz="0" w:space="0" w:color="auto"/>
        <w:bottom w:val="none" w:sz="0" w:space="0" w:color="auto"/>
        <w:right w:val="none" w:sz="0" w:space="0" w:color="auto"/>
      </w:divBdr>
    </w:div>
    <w:div w:id="717779942">
      <w:bodyDiv w:val="1"/>
      <w:marLeft w:val="0"/>
      <w:marRight w:val="0"/>
      <w:marTop w:val="0"/>
      <w:marBottom w:val="0"/>
      <w:divBdr>
        <w:top w:val="none" w:sz="0" w:space="0" w:color="auto"/>
        <w:left w:val="none" w:sz="0" w:space="0" w:color="auto"/>
        <w:bottom w:val="none" w:sz="0" w:space="0" w:color="auto"/>
        <w:right w:val="none" w:sz="0" w:space="0" w:color="auto"/>
      </w:divBdr>
    </w:div>
    <w:div w:id="1272786834">
      <w:bodyDiv w:val="1"/>
      <w:marLeft w:val="0"/>
      <w:marRight w:val="0"/>
      <w:marTop w:val="0"/>
      <w:marBottom w:val="0"/>
      <w:divBdr>
        <w:top w:val="none" w:sz="0" w:space="0" w:color="auto"/>
        <w:left w:val="none" w:sz="0" w:space="0" w:color="auto"/>
        <w:bottom w:val="none" w:sz="0" w:space="0" w:color="auto"/>
        <w:right w:val="none" w:sz="0" w:space="0" w:color="auto"/>
      </w:divBdr>
    </w:div>
    <w:div w:id="1444152544">
      <w:bodyDiv w:val="1"/>
      <w:marLeft w:val="0"/>
      <w:marRight w:val="0"/>
      <w:marTop w:val="0"/>
      <w:marBottom w:val="0"/>
      <w:divBdr>
        <w:top w:val="none" w:sz="0" w:space="0" w:color="auto"/>
        <w:left w:val="none" w:sz="0" w:space="0" w:color="auto"/>
        <w:bottom w:val="none" w:sz="0" w:space="0" w:color="auto"/>
        <w:right w:val="none" w:sz="0" w:space="0" w:color="auto"/>
      </w:divBdr>
    </w:div>
    <w:div w:id="1938903456">
      <w:bodyDiv w:val="1"/>
      <w:marLeft w:val="0"/>
      <w:marRight w:val="0"/>
      <w:marTop w:val="0"/>
      <w:marBottom w:val="0"/>
      <w:divBdr>
        <w:top w:val="none" w:sz="0" w:space="0" w:color="auto"/>
        <w:left w:val="none" w:sz="0" w:space="0" w:color="auto"/>
        <w:bottom w:val="none" w:sz="0" w:space="0" w:color="auto"/>
        <w:right w:val="none" w:sz="0" w:space="0" w:color="auto"/>
      </w:divBdr>
    </w:div>
    <w:div w:id="21157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Maria Dison</cp:lastModifiedBy>
  <cp:revision>9</cp:revision>
  <dcterms:created xsi:type="dcterms:W3CDTF">2014-09-04T03:49:00Z</dcterms:created>
  <dcterms:modified xsi:type="dcterms:W3CDTF">2014-09-05T00:30:00Z</dcterms:modified>
</cp:coreProperties>
</file>