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C4" w:rsidRDefault="00C544EA" w:rsidP="00122DC4">
      <w:pPr>
        <w:pStyle w:val="Heading2"/>
        <w:jc w:val="right"/>
        <w:rPr>
          <w:sz w:val="20"/>
        </w:rPr>
      </w:pPr>
      <w:bookmarkStart w:id="0" w:name="_Toc200420498"/>
      <w:r w:rsidRPr="00122DC4">
        <w:rPr>
          <w:sz w:val="20"/>
        </w:rPr>
        <w:t xml:space="preserve">Assessment Plan Worksheet # </w:t>
      </w:r>
      <w:bookmarkEnd w:id="0"/>
      <w:r w:rsidRPr="00122DC4">
        <w:rPr>
          <w:sz w:val="20"/>
        </w:rPr>
        <w:t>3</w:t>
      </w:r>
    </w:p>
    <w:p w:rsidR="00C544EA" w:rsidRPr="00122DC4" w:rsidRDefault="00C544EA" w:rsidP="00122DC4"/>
    <w:p w:rsidR="00C544EA" w:rsidRPr="00122DC4" w:rsidRDefault="00C544EA" w:rsidP="00122DC4">
      <w:pPr>
        <w:jc w:val="center"/>
        <w:rPr>
          <w:rFonts w:ascii="Arial" w:hAnsi="Arial"/>
          <w:caps/>
          <w:sz w:val="28"/>
        </w:rPr>
      </w:pPr>
      <w:r w:rsidRPr="00122DC4">
        <w:rPr>
          <w:rFonts w:ascii="Arial" w:hAnsi="Arial"/>
          <w:caps/>
          <w:sz w:val="28"/>
        </w:rPr>
        <w:t>Academic Program</w:t>
      </w:r>
    </w:p>
    <w:p w:rsidR="00C544EA" w:rsidRPr="00122DC4" w:rsidRDefault="00C544EA" w:rsidP="00122DC4">
      <w:pPr>
        <w:jc w:val="center"/>
        <w:rPr>
          <w:rFonts w:ascii="Arial" w:hAnsi="Arial"/>
          <w:b/>
          <w:sz w:val="28"/>
        </w:rPr>
      </w:pPr>
      <w:r w:rsidRPr="00122DC4">
        <w:rPr>
          <w:rFonts w:ascii="Arial" w:hAnsi="Arial"/>
          <w:b/>
          <w:sz w:val="28"/>
        </w:rPr>
        <w:t>Assessment Report</w:t>
      </w:r>
    </w:p>
    <w:p w:rsidR="00C544EA" w:rsidRPr="00122DC4" w:rsidRDefault="00C544EA" w:rsidP="00C544EA">
      <w:pPr>
        <w:rPr>
          <w:rFonts w:ascii="Arial" w:hAnsi="Arial"/>
        </w:rPr>
      </w:pPr>
    </w:p>
    <w:tbl>
      <w:tblPr>
        <w:tblW w:w="0" w:type="auto"/>
        <w:tblLook w:val="01E0"/>
      </w:tblPr>
      <w:tblGrid>
        <w:gridCol w:w="3830"/>
        <w:gridCol w:w="1915"/>
        <w:gridCol w:w="3831"/>
      </w:tblGrid>
      <w:tr w:rsidR="00C544EA" w:rsidRPr="00122DC4">
        <w:tc>
          <w:tcPr>
            <w:tcW w:w="3830" w:type="dxa"/>
            <w:tcBorders>
              <w:bottom w:val="single" w:sz="4" w:space="0" w:color="auto"/>
            </w:tcBorders>
          </w:tcPr>
          <w:p w:rsidR="00C544EA" w:rsidRPr="00122DC4" w:rsidRDefault="00C544EA" w:rsidP="00122DC4">
            <w:pPr>
              <w:jc w:val="center"/>
              <w:rPr>
                <w:rFonts w:ascii="Arial" w:hAnsi="Arial"/>
                <w:sz w:val="20"/>
              </w:rPr>
            </w:pPr>
            <w:r w:rsidRPr="00122DC4">
              <w:rPr>
                <w:rFonts w:ascii="Arial" w:hAnsi="Arial"/>
                <w:sz w:val="20"/>
              </w:rPr>
              <w:t>3</w:t>
            </w:r>
            <w:r w:rsidRPr="00122DC4">
              <w:rPr>
                <w:rFonts w:ascii="Arial" w:hAnsi="Arial"/>
                <w:sz w:val="20"/>
                <w:vertAlign w:val="superscript"/>
              </w:rPr>
              <w:t>rd</w:t>
            </w:r>
            <w:r w:rsidRPr="00122DC4">
              <w:rPr>
                <w:rFonts w:ascii="Arial" w:hAnsi="Arial"/>
                <w:sz w:val="20"/>
              </w:rPr>
              <w:t xml:space="preserve"> Year in Accounting</w:t>
            </w:r>
          </w:p>
        </w:tc>
        <w:tc>
          <w:tcPr>
            <w:tcW w:w="1915" w:type="dxa"/>
          </w:tcPr>
          <w:p w:rsidR="00C544EA" w:rsidRPr="00122DC4" w:rsidRDefault="00C544EA" w:rsidP="00122DC4">
            <w:pPr>
              <w:rPr>
                <w:rFonts w:ascii="Arial" w:hAnsi="Arial"/>
                <w:sz w:val="20"/>
              </w:rPr>
            </w:pPr>
          </w:p>
        </w:tc>
        <w:tc>
          <w:tcPr>
            <w:tcW w:w="3831" w:type="dxa"/>
            <w:tcBorders>
              <w:bottom w:val="single" w:sz="4" w:space="0" w:color="auto"/>
            </w:tcBorders>
          </w:tcPr>
          <w:p w:rsidR="00C544EA" w:rsidRPr="00122DC4" w:rsidRDefault="00C544EA" w:rsidP="00122DC4">
            <w:pPr>
              <w:jc w:val="center"/>
              <w:rPr>
                <w:rFonts w:ascii="Arial" w:hAnsi="Arial"/>
                <w:sz w:val="20"/>
              </w:rPr>
            </w:pPr>
            <w:r w:rsidRPr="00122DC4">
              <w:rPr>
                <w:rFonts w:ascii="Arial" w:hAnsi="Arial"/>
                <w:sz w:val="20"/>
              </w:rPr>
              <w:t>Fall 20</w:t>
            </w:r>
            <w:r w:rsidR="00122DC4">
              <w:rPr>
                <w:rFonts w:ascii="Arial" w:hAnsi="Arial"/>
                <w:sz w:val="20"/>
              </w:rPr>
              <w:t>11</w:t>
            </w:r>
            <w:r w:rsidRPr="00122DC4">
              <w:rPr>
                <w:rFonts w:ascii="Arial" w:hAnsi="Arial"/>
                <w:sz w:val="20"/>
              </w:rPr>
              <w:t>- Spring 2001</w:t>
            </w:r>
            <w:r w:rsidR="00122DC4">
              <w:rPr>
                <w:rFonts w:ascii="Arial" w:hAnsi="Arial"/>
                <w:sz w:val="20"/>
              </w:rPr>
              <w:t>2</w:t>
            </w:r>
          </w:p>
        </w:tc>
      </w:tr>
      <w:tr w:rsidR="00C544EA" w:rsidRPr="00122DC4">
        <w:tc>
          <w:tcPr>
            <w:tcW w:w="3830" w:type="dxa"/>
            <w:tcBorders>
              <w:top w:val="single" w:sz="4" w:space="0" w:color="auto"/>
            </w:tcBorders>
          </w:tcPr>
          <w:p w:rsidR="00C544EA" w:rsidRPr="00122DC4" w:rsidRDefault="00C544EA" w:rsidP="00122DC4">
            <w:pPr>
              <w:jc w:val="center"/>
              <w:rPr>
                <w:rFonts w:ascii="Arial" w:hAnsi="Arial"/>
                <w:b/>
                <w:sz w:val="20"/>
              </w:rPr>
            </w:pPr>
            <w:r w:rsidRPr="00122DC4">
              <w:rPr>
                <w:rFonts w:ascii="Arial" w:hAnsi="Arial"/>
                <w:b/>
                <w:sz w:val="20"/>
              </w:rPr>
              <w:t>Academic Program</w:t>
            </w:r>
          </w:p>
        </w:tc>
        <w:tc>
          <w:tcPr>
            <w:tcW w:w="1915" w:type="dxa"/>
          </w:tcPr>
          <w:p w:rsidR="00C544EA" w:rsidRPr="00122DC4" w:rsidRDefault="00C544EA" w:rsidP="00122DC4">
            <w:pPr>
              <w:jc w:val="center"/>
              <w:rPr>
                <w:rFonts w:ascii="Arial" w:hAnsi="Arial"/>
                <w:b/>
                <w:sz w:val="20"/>
              </w:rPr>
            </w:pPr>
          </w:p>
        </w:tc>
        <w:tc>
          <w:tcPr>
            <w:tcW w:w="3831" w:type="dxa"/>
            <w:tcBorders>
              <w:top w:val="single" w:sz="4" w:space="0" w:color="auto"/>
            </w:tcBorders>
          </w:tcPr>
          <w:p w:rsidR="00C544EA" w:rsidRPr="00122DC4" w:rsidRDefault="00C544EA" w:rsidP="00122DC4">
            <w:pPr>
              <w:jc w:val="center"/>
              <w:rPr>
                <w:rFonts w:ascii="Arial" w:hAnsi="Arial"/>
                <w:b/>
                <w:sz w:val="20"/>
              </w:rPr>
            </w:pPr>
            <w:r w:rsidRPr="00122DC4">
              <w:rPr>
                <w:rFonts w:ascii="Arial" w:hAnsi="Arial"/>
                <w:b/>
                <w:sz w:val="20"/>
              </w:rPr>
              <w:t>Assessment Period Covered</w:t>
            </w:r>
          </w:p>
        </w:tc>
      </w:tr>
      <w:tr w:rsidR="00C544EA" w:rsidRPr="00122DC4">
        <w:tc>
          <w:tcPr>
            <w:tcW w:w="3830" w:type="dxa"/>
          </w:tcPr>
          <w:p w:rsidR="00C544EA" w:rsidRPr="00122DC4" w:rsidRDefault="00C544EA" w:rsidP="00122DC4">
            <w:pPr>
              <w:rPr>
                <w:rFonts w:ascii="Arial" w:hAnsi="Arial"/>
                <w:b/>
                <w:sz w:val="20"/>
              </w:rPr>
            </w:pPr>
            <w:proofErr w:type="gramStart"/>
            <w:r w:rsidRPr="00122DC4">
              <w:rPr>
                <w:rFonts w:ascii="Arial" w:hAnsi="Arial"/>
                <w:b/>
                <w:sz w:val="20"/>
              </w:rPr>
              <w:t>(    )</w:t>
            </w:r>
            <w:proofErr w:type="gramEnd"/>
            <w:r w:rsidRPr="00122DC4">
              <w:rPr>
                <w:rFonts w:ascii="Arial" w:hAnsi="Arial"/>
                <w:b/>
                <w:sz w:val="20"/>
              </w:rPr>
              <w:t xml:space="preserve"> Formative Assessment</w:t>
            </w:r>
          </w:p>
        </w:tc>
        <w:tc>
          <w:tcPr>
            <w:tcW w:w="1915" w:type="dxa"/>
          </w:tcPr>
          <w:p w:rsidR="00C544EA" w:rsidRPr="00122DC4" w:rsidRDefault="00C544EA" w:rsidP="00122DC4">
            <w:pPr>
              <w:rPr>
                <w:rFonts w:ascii="Arial" w:hAnsi="Arial"/>
                <w:sz w:val="20"/>
              </w:rPr>
            </w:pPr>
          </w:p>
        </w:tc>
        <w:tc>
          <w:tcPr>
            <w:tcW w:w="3831" w:type="dxa"/>
            <w:tcBorders>
              <w:bottom w:val="single" w:sz="4" w:space="0" w:color="auto"/>
            </w:tcBorders>
          </w:tcPr>
          <w:p w:rsidR="00C544EA" w:rsidRPr="00122DC4" w:rsidRDefault="00C544EA" w:rsidP="00122DC4">
            <w:pPr>
              <w:jc w:val="center"/>
              <w:rPr>
                <w:rFonts w:ascii="Arial" w:hAnsi="Arial"/>
                <w:sz w:val="20"/>
              </w:rPr>
            </w:pPr>
            <w:r w:rsidRPr="00122DC4">
              <w:rPr>
                <w:rFonts w:ascii="Arial" w:hAnsi="Arial"/>
                <w:sz w:val="20"/>
              </w:rPr>
              <w:t xml:space="preserve">May </w:t>
            </w:r>
            <w:r w:rsidR="00122DC4">
              <w:rPr>
                <w:rFonts w:ascii="Arial" w:hAnsi="Arial"/>
                <w:sz w:val="20"/>
              </w:rPr>
              <w:t>9</w:t>
            </w:r>
            <w:r w:rsidRPr="00122DC4">
              <w:rPr>
                <w:rFonts w:ascii="Arial" w:hAnsi="Arial"/>
                <w:sz w:val="20"/>
              </w:rPr>
              <w:t>, 201</w:t>
            </w:r>
            <w:r w:rsidR="0012447D">
              <w:rPr>
                <w:rFonts w:ascii="Arial" w:hAnsi="Arial"/>
                <w:sz w:val="20"/>
              </w:rPr>
              <w:t>2</w:t>
            </w:r>
          </w:p>
        </w:tc>
      </w:tr>
      <w:tr w:rsidR="00C544EA" w:rsidRPr="00122DC4">
        <w:tc>
          <w:tcPr>
            <w:tcW w:w="3830" w:type="dxa"/>
          </w:tcPr>
          <w:p w:rsidR="00C544EA" w:rsidRPr="00122DC4" w:rsidRDefault="00C544EA" w:rsidP="00122DC4">
            <w:pPr>
              <w:rPr>
                <w:rFonts w:ascii="Arial" w:hAnsi="Arial"/>
                <w:b/>
                <w:sz w:val="20"/>
              </w:rPr>
            </w:pPr>
            <w:proofErr w:type="gramStart"/>
            <w:r w:rsidRPr="00122DC4">
              <w:rPr>
                <w:rFonts w:ascii="Arial" w:hAnsi="Arial"/>
                <w:b/>
                <w:sz w:val="20"/>
              </w:rPr>
              <w:t>( x</w:t>
            </w:r>
            <w:proofErr w:type="gramEnd"/>
            <w:r w:rsidRPr="00122DC4">
              <w:rPr>
                <w:rFonts w:ascii="Arial" w:hAnsi="Arial"/>
                <w:b/>
                <w:sz w:val="20"/>
              </w:rPr>
              <w:t xml:space="preserve"> ) Summative Assessment</w:t>
            </w:r>
          </w:p>
        </w:tc>
        <w:tc>
          <w:tcPr>
            <w:tcW w:w="1915" w:type="dxa"/>
          </w:tcPr>
          <w:p w:rsidR="00C544EA" w:rsidRPr="00122DC4" w:rsidRDefault="00C544EA" w:rsidP="00122DC4">
            <w:pPr>
              <w:jc w:val="center"/>
              <w:rPr>
                <w:rFonts w:ascii="Arial" w:hAnsi="Arial"/>
                <w:b/>
                <w:sz w:val="20"/>
              </w:rPr>
            </w:pPr>
          </w:p>
        </w:tc>
        <w:tc>
          <w:tcPr>
            <w:tcW w:w="3831" w:type="dxa"/>
            <w:tcBorders>
              <w:top w:val="single" w:sz="4" w:space="0" w:color="auto"/>
            </w:tcBorders>
          </w:tcPr>
          <w:p w:rsidR="00C544EA" w:rsidRPr="00122DC4" w:rsidRDefault="00C544EA" w:rsidP="00122DC4">
            <w:pPr>
              <w:jc w:val="center"/>
              <w:rPr>
                <w:rFonts w:ascii="Arial" w:hAnsi="Arial"/>
                <w:b/>
                <w:sz w:val="20"/>
              </w:rPr>
            </w:pPr>
            <w:r w:rsidRPr="00122DC4">
              <w:rPr>
                <w:rFonts w:ascii="Arial" w:hAnsi="Arial"/>
                <w:b/>
                <w:sz w:val="20"/>
              </w:rPr>
              <w:t>Date Submitted</w:t>
            </w:r>
          </w:p>
        </w:tc>
      </w:tr>
    </w:tbl>
    <w:p w:rsidR="00C544EA" w:rsidRPr="00122DC4" w:rsidRDefault="00C544EA" w:rsidP="00C544E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544EA" w:rsidRPr="00122DC4">
        <w:tc>
          <w:tcPr>
            <w:tcW w:w="9576" w:type="dxa"/>
          </w:tcPr>
          <w:p w:rsidR="00C544EA" w:rsidRPr="00122DC4" w:rsidRDefault="00C544EA">
            <w:pPr>
              <w:rPr>
                <w:rFonts w:ascii="Arial" w:hAnsi="Arial"/>
                <w:b/>
                <w:sz w:val="20"/>
              </w:rPr>
            </w:pPr>
            <w:r w:rsidRPr="00122DC4">
              <w:rPr>
                <w:rFonts w:ascii="Arial" w:hAnsi="Arial"/>
                <w:b/>
                <w:sz w:val="20"/>
              </w:rPr>
              <w:t>Academic Evaluation Question (Use a different form for each evaluation question):</w:t>
            </w:r>
          </w:p>
        </w:tc>
      </w:tr>
      <w:tr w:rsidR="00C544EA" w:rsidRPr="00122DC4">
        <w:tc>
          <w:tcPr>
            <w:tcW w:w="9576" w:type="dxa"/>
          </w:tcPr>
          <w:p w:rsidR="00C544EA" w:rsidRPr="00122DC4" w:rsidRDefault="00C544EA">
            <w:pPr>
              <w:rPr>
                <w:rFonts w:ascii="Arial" w:hAnsi="Arial"/>
                <w:sz w:val="20"/>
              </w:rPr>
            </w:pPr>
          </w:p>
          <w:p w:rsidR="00C544EA" w:rsidRPr="00122DC4" w:rsidRDefault="00C544EA" w:rsidP="00122DC4">
            <w:pPr>
              <w:rPr>
                <w:rFonts w:ascii="Arial" w:hAnsi="Arial"/>
                <w:sz w:val="20"/>
              </w:rPr>
            </w:pPr>
            <w:r w:rsidRPr="00122DC4">
              <w:rPr>
                <w:rFonts w:ascii="Arial" w:hAnsi="Arial"/>
                <w:sz w:val="20"/>
              </w:rPr>
              <w:t>Has there been 90% student completion/success rate in FY 2011?</w:t>
            </w:r>
          </w:p>
          <w:p w:rsidR="00C544EA" w:rsidRPr="00122DC4" w:rsidRDefault="00C544EA">
            <w:pPr>
              <w:rPr>
                <w:rFonts w:ascii="Arial" w:hAnsi="Arial"/>
                <w:sz w:val="20"/>
              </w:rPr>
            </w:pPr>
          </w:p>
        </w:tc>
      </w:tr>
    </w:tbl>
    <w:p w:rsidR="00C544EA" w:rsidRPr="00122DC4" w:rsidRDefault="00C544EA" w:rsidP="00C544EA">
      <w:pPr>
        <w:rPr>
          <w:rFonts w:ascii="Arial" w:hAnsi="Arial"/>
        </w:rPr>
      </w:pPr>
    </w:p>
    <w:p w:rsidR="00C544EA" w:rsidRPr="00122DC4" w:rsidRDefault="00C544EA" w:rsidP="00C544EA">
      <w:pPr>
        <w:rPr>
          <w:rFonts w:ascii="Arial" w:hAnsi="Arial"/>
          <w:b/>
          <w:sz w:val="20"/>
          <w:szCs w:val="20"/>
        </w:rPr>
      </w:pPr>
      <w:r w:rsidRPr="00122DC4">
        <w:rPr>
          <w:rFonts w:ascii="Arial" w:hAnsi="Arial"/>
          <w:b/>
          <w:sz w:val="20"/>
          <w:szCs w:val="20"/>
        </w:rPr>
        <w:t>First Means of Assessment for Evaluation Question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C544EA" w:rsidRPr="00122DC4">
        <w:tc>
          <w:tcPr>
            <w:tcW w:w="9576" w:type="dxa"/>
          </w:tcPr>
          <w:p w:rsidR="00C544EA" w:rsidRPr="00122DC4" w:rsidRDefault="00C544EA">
            <w:pPr>
              <w:rPr>
                <w:rFonts w:ascii="Arial" w:hAnsi="Arial"/>
                <w:sz w:val="20"/>
              </w:rPr>
            </w:pPr>
            <w:r w:rsidRPr="00122DC4">
              <w:rPr>
                <w:rFonts w:ascii="Arial" w:hAnsi="Arial"/>
                <w:i/>
                <w:sz w:val="20"/>
              </w:rPr>
              <w:t>1a. Means of Unit Assessment &amp; Criteria for Success</w:t>
            </w:r>
            <w:r w:rsidRPr="00122DC4">
              <w:rPr>
                <w:rFonts w:ascii="Arial" w:hAnsi="Arial"/>
                <w:sz w:val="20"/>
              </w:rPr>
              <w:t>:</w:t>
            </w:r>
          </w:p>
          <w:p w:rsidR="00C544EA" w:rsidRPr="00122DC4" w:rsidRDefault="00C544EA" w:rsidP="00122DC4">
            <w:pPr>
              <w:rPr>
                <w:rFonts w:ascii="Arial" w:hAnsi="Arial"/>
                <w:b/>
                <w:sz w:val="20"/>
              </w:rPr>
            </w:pPr>
          </w:p>
          <w:p w:rsidR="00C544EA" w:rsidRPr="00122DC4" w:rsidRDefault="00C544EA">
            <w:pPr>
              <w:rPr>
                <w:rFonts w:ascii="Arial" w:eastAsia="Times" w:hAnsi="Arial"/>
                <w:b/>
                <w:sz w:val="20"/>
              </w:rPr>
            </w:pPr>
            <w:r w:rsidRPr="00122DC4">
              <w:rPr>
                <w:rFonts w:ascii="Arial" w:eastAsia="Times" w:hAnsi="Arial"/>
                <w:b/>
                <w:sz w:val="20"/>
              </w:rPr>
              <w:t>Fall 20</w:t>
            </w:r>
            <w:r w:rsidR="00122DC4">
              <w:rPr>
                <w:rFonts w:ascii="Arial" w:eastAsia="Times" w:hAnsi="Arial"/>
                <w:b/>
                <w:sz w:val="20"/>
              </w:rPr>
              <w:t>11 - Spring 2012</w:t>
            </w:r>
            <w:r w:rsidRPr="00122DC4">
              <w:rPr>
                <w:rFonts w:ascii="Arial" w:eastAsia="Times" w:hAnsi="Arial"/>
                <w:b/>
                <w:sz w:val="20"/>
              </w:rPr>
              <w:t xml:space="preserve"> student completion/success rate </w:t>
            </w:r>
          </w:p>
          <w:p w:rsidR="00C544EA" w:rsidRPr="00122DC4" w:rsidRDefault="00C544EA">
            <w:pPr>
              <w:rPr>
                <w:rFonts w:ascii="Arial" w:hAnsi="Arial"/>
                <w:sz w:val="20"/>
              </w:rPr>
            </w:pPr>
          </w:p>
        </w:tc>
      </w:tr>
      <w:tr w:rsidR="00C544EA" w:rsidRPr="00122DC4">
        <w:tc>
          <w:tcPr>
            <w:tcW w:w="9576" w:type="dxa"/>
          </w:tcPr>
          <w:p w:rsidR="00C544EA" w:rsidRPr="00122DC4" w:rsidRDefault="00C544EA">
            <w:pPr>
              <w:rPr>
                <w:rFonts w:ascii="Arial" w:hAnsi="Arial"/>
                <w:i/>
                <w:sz w:val="20"/>
              </w:rPr>
            </w:pPr>
            <w:r w:rsidRPr="00122DC4">
              <w:rPr>
                <w:rFonts w:ascii="Arial" w:hAnsi="Arial"/>
                <w:i/>
                <w:sz w:val="20"/>
              </w:rPr>
              <w:t>1a. Summary of Assessment Data Collected:</w:t>
            </w:r>
          </w:p>
          <w:p w:rsidR="00C544EA" w:rsidRPr="00122DC4" w:rsidRDefault="00C544EA" w:rsidP="00122DC4">
            <w:pPr>
              <w:rPr>
                <w:rFonts w:ascii="Arial" w:hAnsi="Arial"/>
                <w:b/>
                <w:sz w:val="20"/>
              </w:rPr>
            </w:pPr>
          </w:p>
          <w:p w:rsidR="00C544EA" w:rsidRPr="00122DC4" w:rsidRDefault="00C544EA" w:rsidP="00122DC4">
            <w:pPr>
              <w:rPr>
                <w:rFonts w:ascii="Arial" w:hAnsi="Arial"/>
                <w:b/>
                <w:sz w:val="20"/>
              </w:rPr>
            </w:pPr>
            <w:r w:rsidRPr="00122DC4">
              <w:rPr>
                <w:rFonts w:ascii="Arial" w:hAnsi="Arial"/>
                <w:b/>
                <w:sz w:val="20"/>
              </w:rPr>
              <w:t>Based on the summary of grades turned in by professors/ requested from the OARR in TYC Accounting courses, the results were:</w:t>
            </w:r>
          </w:p>
          <w:p w:rsidR="00C544EA" w:rsidRPr="00122DC4" w:rsidRDefault="00C544EA" w:rsidP="00122DC4">
            <w:pPr>
              <w:rPr>
                <w:rFonts w:ascii="Arial" w:hAnsi="Arial"/>
                <w:b/>
                <w:sz w:val="20"/>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2"/>
              <w:gridCol w:w="1194"/>
              <w:gridCol w:w="1679"/>
              <w:gridCol w:w="1193"/>
              <w:gridCol w:w="1219"/>
              <w:gridCol w:w="1679"/>
              <w:gridCol w:w="1314"/>
            </w:tblGrid>
            <w:tr w:rsidR="00C544EA" w:rsidRPr="00122DC4">
              <w:trPr>
                <w:jc w:val="center"/>
              </w:trPr>
              <w:tc>
                <w:tcPr>
                  <w:tcW w:w="1182" w:type="dxa"/>
                  <w:vMerge w:val="restart"/>
                  <w:shd w:val="clear" w:color="auto" w:fill="A6A6A6" w:themeFill="background1" w:themeFillShade="A6"/>
                </w:tcPr>
                <w:p w:rsidR="00C544EA" w:rsidRPr="001621B5" w:rsidRDefault="00C544EA" w:rsidP="00122DC4">
                  <w:pPr>
                    <w:jc w:val="center"/>
                    <w:rPr>
                      <w:rFonts w:ascii="Arial" w:hAnsi="Arial"/>
                      <w:sz w:val="20"/>
                    </w:rPr>
                  </w:pPr>
                </w:p>
                <w:p w:rsidR="00C544EA" w:rsidRPr="001621B5" w:rsidRDefault="00C544EA" w:rsidP="00122DC4">
                  <w:pPr>
                    <w:jc w:val="center"/>
                    <w:rPr>
                      <w:rFonts w:ascii="Arial" w:hAnsi="Arial"/>
                      <w:sz w:val="20"/>
                    </w:rPr>
                  </w:pPr>
                </w:p>
                <w:p w:rsidR="00C544EA" w:rsidRPr="001621B5" w:rsidRDefault="00C544EA" w:rsidP="00122DC4">
                  <w:pPr>
                    <w:jc w:val="center"/>
                    <w:rPr>
                      <w:rFonts w:ascii="Arial" w:hAnsi="Arial"/>
                      <w:sz w:val="20"/>
                    </w:rPr>
                  </w:pPr>
                  <w:r w:rsidRPr="001621B5">
                    <w:rPr>
                      <w:rFonts w:ascii="Arial" w:hAnsi="Arial"/>
                      <w:sz w:val="20"/>
                    </w:rPr>
                    <w:t>Course</w:t>
                  </w:r>
                </w:p>
              </w:tc>
              <w:tc>
                <w:tcPr>
                  <w:tcW w:w="4066" w:type="dxa"/>
                  <w:gridSpan w:val="3"/>
                  <w:shd w:val="clear" w:color="auto" w:fill="A6A6A6" w:themeFill="background1" w:themeFillShade="A6"/>
                </w:tcPr>
                <w:p w:rsidR="00C544EA" w:rsidRPr="001621B5" w:rsidRDefault="00C544EA" w:rsidP="00122DC4">
                  <w:pPr>
                    <w:jc w:val="center"/>
                    <w:rPr>
                      <w:rFonts w:ascii="Arial" w:hAnsi="Arial"/>
                      <w:sz w:val="20"/>
                    </w:rPr>
                  </w:pPr>
                  <w:r w:rsidRPr="001621B5">
                    <w:rPr>
                      <w:rFonts w:ascii="Arial" w:hAnsi="Arial"/>
                      <w:sz w:val="20"/>
                    </w:rPr>
                    <w:t>Fall 20</w:t>
                  </w:r>
                  <w:r w:rsidR="00122DC4" w:rsidRPr="001621B5">
                    <w:rPr>
                      <w:rFonts w:ascii="Arial" w:hAnsi="Arial"/>
                      <w:sz w:val="20"/>
                    </w:rPr>
                    <w:t>11</w:t>
                  </w:r>
                  <w:r w:rsidRPr="001621B5">
                    <w:rPr>
                      <w:rFonts w:ascii="Arial" w:hAnsi="Arial"/>
                      <w:sz w:val="20"/>
                    </w:rPr>
                    <w:t>- Spring 201</w:t>
                  </w:r>
                  <w:r w:rsidR="008D6B1E">
                    <w:rPr>
                      <w:rFonts w:ascii="Arial" w:hAnsi="Arial"/>
                      <w:sz w:val="20"/>
                    </w:rPr>
                    <w:t>2</w:t>
                  </w:r>
                </w:p>
              </w:tc>
              <w:tc>
                <w:tcPr>
                  <w:tcW w:w="4212" w:type="dxa"/>
                  <w:gridSpan w:val="3"/>
                  <w:shd w:val="clear" w:color="auto" w:fill="A6A6A6" w:themeFill="background1" w:themeFillShade="A6"/>
                </w:tcPr>
                <w:p w:rsidR="00C544EA" w:rsidRPr="001621B5" w:rsidRDefault="00C544EA" w:rsidP="00122DC4">
                  <w:pPr>
                    <w:jc w:val="center"/>
                    <w:rPr>
                      <w:rFonts w:ascii="Arial" w:hAnsi="Arial"/>
                      <w:sz w:val="20"/>
                    </w:rPr>
                  </w:pPr>
                  <w:r w:rsidRPr="001621B5">
                    <w:rPr>
                      <w:rFonts w:ascii="Arial" w:hAnsi="Arial"/>
                      <w:sz w:val="20"/>
                    </w:rPr>
                    <w:t>Fall 2010- Spring 2011</w:t>
                  </w:r>
                </w:p>
              </w:tc>
            </w:tr>
            <w:tr w:rsidR="00C544EA" w:rsidRPr="00122DC4">
              <w:trPr>
                <w:jc w:val="center"/>
              </w:trPr>
              <w:tc>
                <w:tcPr>
                  <w:tcW w:w="1182" w:type="dxa"/>
                  <w:vMerge/>
                  <w:shd w:val="clear" w:color="auto" w:fill="A6A6A6" w:themeFill="background1" w:themeFillShade="A6"/>
                </w:tcPr>
                <w:p w:rsidR="00C544EA" w:rsidRPr="001621B5" w:rsidRDefault="00C544EA" w:rsidP="00122DC4">
                  <w:pPr>
                    <w:jc w:val="center"/>
                    <w:rPr>
                      <w:rFonts w:ascii="Arial" w:hAnsi="Arial"/>
                      <w:sz w:val="20"/>
                    </w:rPr>
                  </w:pPr>
                </w:p>
              </w:tc>
              <w:tc>
                <w:tcPr>
                  <w:tcW w:w="1194" w:type="dxa"/>
                  <w:shd w:val="clear" w:color="auto" w:fill="A6A6A6" w:themeFill="background1" w:themeFillShade="A6"/>
                </w:tcPr>
                <w:p w:rsidR="00C544EA" w:rsidRPr="001621B5" w:rsidRDefault="00C544EA" w:rsidP="00122DC4">
                  <w:pPr>
                    <w:jc w:val="center"/>
                    <w:rPr>
                      <w:rFonts w:ascii="Arial" w:hAnsi="Arial"/>
                      <w:sz w:val="20"/>
                    </w:rPr>
                  </w:pPr>
                </w:p>
                <w:p w:rsidR="00C544EA" w:rsidRPr="001621B5" w:rsidRDefault="00C544EA" w:rsidP="00122DC4">
                  <w:pPr>
                    <w:jc w:val="center"/>
                    <w:rPr>
                      <w:rFonts w:ascii="Arial" w:hAnsi="Arial"/>
                      <w:sz w:val="20"/>
                    </w:rPr>
                  </w:pPr>
                  <w:r w:rsidRPr="001621B5">
                    <w:rPr>
                      <w:rFonts w:ascii="Arial" w:hAnsi="Arial"/>
                      <w:sz w:val="20"/>
                    </w:rPr>
                    <w:t>Total Students Enrolled</w:t>
                  </w:r>
                </w:p>
              </w:tc>
              <w:tc>
                <w:tcPr>
                  <w:tcW w:w="1679" w:type="dxa"/>
                  <w:shd w:val="clear" w:color="auto" w:fill="A6A6A6" w:themeFill="background1" w:themeFillShade="A6"/>
                </w:tcPr>
                <w:p w:rsidR="00C544EA" w:rsidRPr="001621B5" w:rsidRDefault="00C544EA" w:rsidP="00122DC4">
                  <w:pPr>
                    <w:jc w:val="center"/>
                    <w:rPr>
                      <w:rFonts w:ascii="Arial" w:hAnsi="Arial"/>
                      <w:sz w:val="20"/>
                    </w:rPr>
                  </w:pPr>
                  <w:r w:rsidRPr="001621B5">
                    <w:rPr>
                      <w:rFonts w:ascii="Arial" w:hAnsi="Arial"/>
                      <w:sz w:val="20"/>
                    </w:rPr>
                    <w:t xml:space="preserve">No. </w:t>
                  </w:r>
                  <w:proofErr w:type="gramStart"/>
                  <w:r w:rsidRPr="001621B5">
                    <w:rPr>
                      <w:rFonts w:ascii="Arial" w:hAnsi="Arial"/>
                      <w:sz w:val="20"/>
                    </w:rPr>
                    <w:t>of</w:t>
                  </w:r>
                  <w:proofErr w:type="gramEnd"/>
                  <w:r w:rsidRPr="001621B5">
                    <w:rPr>
                      <w:rFonts w:ascii="Arial" w:hAnsi="Arial"/>
                      <w:sz w:val="20"/>
                    </w:rPr>
                    <w:t xml:space="preserve"> Students with a Final Grade of</w:t>
                  </w:r>
                </w:p>
                <w:p w:rsidR="00C544EA" w:rsidRPr="001621B5" w:rsidRDefault="00C544EA" w:rsidP="00122DC4">
                  <w:pPr>
                    <w:jc w:val="center"/>
                    <w:rPr>
                      <w:rFonts w:ascii="Arial" w:hAnsi="Arial"/>
                      <w:sz w:val="20"/>
                    </w:rPr>
                  </w:pPr>
                  <w:r w:rsidRPr="001621B5">
                    <w:rPr>
                      <w:rFonts w:ascii="Arial" w:hAnsi="Arial"/>
                      <w:sz w:val="20"/>
                    </w:rPr>
                    <w:t>A-C</w:t>
                  </w:r>
                </w:p>
              </w:tc>
              <w:tc>
                <w:tcPr>
                  <w:tcW w:w="1193" w:type="dxa"/>
                  <w:shd w:val="clear" w:color="auto" w:fill="A6A6A6" w:themeFill="background1" w:themeFillShade="A6"/>
                </w:tcPr>
                <w:p w:rsidR="00C544EA" w:rsidRPr="001621B5" w:rsidRDefault="00C544EA" w:rsidP="00122DC4">
                  <w:pPr>
                    <w:jc w:val="center"/>
                    <w:rPr>
                      <w:rFonts w:ascii="Arial" w:hAnsi="Arial"/>
                      <w:sz w:val="20"/>
                    </w:rPr>
                  </w:pPr>
                </w:p>
                <w:p w:rsidR="00C544EA" w:rsidRPr="001621B5" w:rsidRDefault="00C544EA" w:rsidP="00122DC4">
                  <w:pPr>
                    <w:jc w:val="center"/>
                    <w:rPr>
                      <w:rFonts w:ascii="Arial" w:hAnsi="Arial"/>
                      <w:sz w:val="20"/>
                    </w:rPr>
                  </w:pPr>
                  <w:r w:rsidRPr="001621B5">
                    <w:rPr>
                      <w:rFonts w:ascii="Arial" w:hAnsi="Arial"/>
                      <w:sz w:val="20"/>
                    </w:rPr>
                    <w:t>Class Success Rate</w:t>
                  </w:r>
                </w:p>
              </w:tc>
              <w:tc>
                <w:tcPr>
                  <w:tcW w:w="1219" w:type="dxa"/>
                  <w:shd w:val="clear" w:color="auto" w:fill="A6A6A6" w:themeFill="background1" w:themeFillShade="A6"/>
                </w:tcPr>
                <w:p w:rsidR="00C544EA" w:rsidRPr="001621B5" w:rsidRDefault="00C544EA" w:rsidP="00122DC4">
                  <w:pPr>
                    <w:jc w:val="center"/>
                    <w:rPr>
                      <w:rFonts w:ascii="Arial" w:hAnsi="Arial"/>
                      <w:sz w:val="20"/>
                    </w:rPr>
                  </w:pPr>
                </w:p>
                <w:p w:rsidR="00C544EA" w:rsidRPr="001621B5" w:rsidRDefault="00C544EA" w:rsidP="00122DC4">
                  <w:pPr>
                    <w:jc w:val="center"/>
                    <w:rPr>
                      <w:rFonts w:ascii="Arial" w:hAnsi="Arial"/>
                      <w:sz w:val="20"/>
                    </w:rPr>
                  </w:pPr>
                  <w:r w:rsidRPr="001621B5">
                    <w:rPr>
                      <w:rFonts w:ascii="Arial" w:hAnsi="Arial"/>
                      <w:sz w:val="20"/>
                    </w:rPr>
                    <w:t>Total Students Enrolled</w:t>
                  </w:r>
                </w:p>
              </w:tc>
              <w:tc>
                <w:tcPr>
                  <w:tcW w:w="1679" w:type="dxa"/>
                  <w:shd w:val="clear" w:color="auto" w:fill="A6A6A6" w:themeFill="background1" w:themeFillShade="A6"/>
                </w:tcPr>
                <w:p w:rsidR="00C544EA" w:rsidRPr="001621B5" w:rsidRDefault="00C544EA" w:rsidP="00122DC4">
                  <w:pPr>
                    <w:jc w:val="center"/>
                    <w:rPr>
                      <w:rFonts w:ascii="Arial" w:hAnsi="Arial"/>
                      <w:sz w:val="20"/>
                    </w:rPr>
                  </w:pPr>
                  <w:r w:rsidRPr="001621B5">
                    <w:rPr>
                      <w:rFonts w:ascii="Arial" w:hAnsi="Arial"/>
                      <w:sz w:val="20"/>
                    </w:rPr>
                    <w:t xml:space="preserve">No. </w:t>
                  </w:r>
                  <w:proofErr w:type="gramStart"/>
                  <w:r w:rsidRPr="001621B5">
                    <w:rPr>
                      <w:rFonts w:ascii="Arial" w:hAnsi="Arial"/>
                      <w:sz w:val="20"/>
                    </w:rPr>
                    <w:t>of</w:t>
                  </w:r>
                  <w:proofErr w:type="gramEnd"/>
                  <w:r w:rsidRPr="001621B5">
                    <w:rPr>
                      <w:rFonts w:ascii="Arial" w:hAnsi="Arial"/>
                      <w:sz w:val="20"/>
                    </w:rPr>
                    <w:t xml:space="preserve"> Students with a Final Grade of</w:t>
                  </w:r>
                </w:p>
                <w:p w:rsidR="00C544EA" w:rsidRPr="001621B5" w:rsidRDefault="00C544EA" w:rsidP="00122DC4">
                  <w:pPr>
                    <w:jc w:val="center"/>
                    <w:rPr>
                      <w:rFonts w:ascii="Arial" w:hAnsi="Arial"/>
                      <w:sz w:val="20"/>
                    </w:rPr>
                  </w:pPr>
                  <w:r w:rsidRPr="001621B5">
                    <w:rPr>
                      <w:rFonts w:ascii="Arial" w:hAnsi="Arial"/>
                      <w:sz w:val="20"/>
                    </w:rPr>
                    <w:t>A-C</w:t>
                  </w:r>
                </w:p>
              </w:tc>
              <w:tc>
                <w:tcPr>
                  <w:tcW w:w="1314" w:type="dxa"/>
                  <w:shd w:val="clear" w:color="auto" w:fill="A6A6A6" w:themeFill="background1" w:themeFillShade="A6"/>
                </w:tcPr>
                <w:p w:rsidR="00C544EA" w:rsidRPr="001621B5" w:rsidRDefault="00C544EA" w:rsidP="00122DC4">
                  <w:pPr>
                    <w:jc w:val="center"/>
                    <w:rPr>
                      <w:rFonts w:ascii="Arial" w:hAnsi="Arial"/>
                      <w:sz w:val="20"/>
                    </w:rPr>
                  </w:pPr>
                </w:p>
                <w:p w:rsidR="00C544EA" w:rsidRPr="001621B5" w:rsidRDefault="00C544EA" w:rsidP="00122DC4">
                  <w:pPr>
                    <w:jc w:val="center"/>
                    <w:rPr>
                      <w:rFonts w:ascii="Arial" w:hAnsi="Arial"/>
                      <w:sz w:val="20"/>
                    </w:rPr>
                  </w:pPr>
                  <w:r w:rsidRPr="001621B5">
                    <w:rPr>
                      <w:rFonts w:ascii="Arial" w:hAnsi="Arial"/>
                      <w:sz w:val="20"/>
                    </w:rPr>
                    <w:t>Class Success Rate</w:t>
                  </w:r>
                </w:p>
              </w:tc>
            </w:tr>
            <w:tr w:rsidR="00C544EA" w:rsidRPr="00122DC4">
              <w:trPr>
                <w:jc w:val="center"/>
              </w:trPr>
              <w:tc>
                <w:tcPr>
                  <w:tcW w:w="1182" w:type="dxa"/>
                </w:tcPr>
                <w:p w:rsidR="00C544EA" w:rsidRPr="001621B5" w:rsidRDefault="00C544EA" w:rsidP="00122DC4">
                  <w:pPr>
                    <w:rPr>
                      <w:rFonts w:ascii="Arial" w:hAnsi="Arial"/>
                      <w:b/>
                      <w:sz w:val="20"/>
                    </w:rPr>
                  </w:pPr>
                  <w:r w:rsidRPr="001621B5">
                    <w:rPr>
                      <w:rFonts w:ascii="Arial" w:hAnsi="Arial"/>
                      <w:b/>
                      <w:sz w:val="20"/>
                    </w:rPr>
                    <w:t>AC 320</w:t>
                  </w:r>
                </w:p>
              </w:tc>
              <w:tc>
                <w:tcPr>
                  <w:tcW w:w="1194" w:type="dxa"/>
                </w:tcPr>
                <w:p w:rsidR="00C544EA" w:rsidRPr="001621B5" w:rsidRDefault="00122DC4" w:rsidP="00122DC4">
                  <w:pPr>
                    <w:jc w:val="center"/>
                    <w:rPr>
                      <w:rFonts w:ascii="Arial" w:hAnsi="Arial"/>
                      <w:b/>
                      <w:sz w:val="20"/>
                    </w:rPr>
                  </w:pPr>
                  <w:r w:rsidRPr="001621B5">
                    <w:rPr>
                      <w:rFonts w:ascii="Arial" w:hAnsi="Arial"/>
                      <w:b/>
                      <w:sz w:val="20"/>
                    </w:rPr>
                    <w:t>7</w:t>
                  </w:r>
                </w:p>
              </w:tc>
              <w:tc>
                <w:tcPr>
                  <w:tcW w:w="1679" w:type="dxa"/>
                </w:tcPr>
                <w:p w:rsidR="00C544EA" w:rsidRPr="001621B5" w:rsidRDefault="00C544EA" w:rsidP="00122DC4">
                  <w:pPr>
                    <w:jc w:val="center"/>
                    <w:rPr>
                      <w:rFonts w:ascii="Arial" w:hAnsi="Arial"/>
                      <w:b/>
                      <w:sz w:val="20"/>
                    </w:rPr>
                  </w:pPr>
                  <w:r w:rsidRPr="001621B5">
                    <w:rPr>
                      <w:rFonts w:ascii="Arial" w:hAnsi="Arial"/>
                      <w:b/>
                      <w:sz w:val="20"/>
                    </w:rPr>
                    <w:t>4</w:t>
                  </w:r>
                </w:p>
              </w:tc>
              <w:tc>
                <w:tcPr>
                  <w:tcW w:w="1193" w:type="dxa"/>
                </w:tcPr>
                <w:p w:rsidR="00C544EA" w:rsidRPr="001621B5" w:rsidRDefault="002F16E7" w:rsidP="00122DC4">
                  <w:pPr>
                    <w:jc w:val="center"/>
                    <w:rPr>
                      <w:rFonts w:ascii="Arial" w:hAnsi="Arial"/>
                      <w:b/>
                      <w:sz w:val="20"/>
                    </w:rPr>
                  </w:pPr>
                  <w:r w:rsidRPr="001621B5">
                    <w:rPr>
                      <w:rFonts w:ascii="Arial" w:hAnsi="Arial"/>
                      <w:b/>
                      <w:sz w:val="20"/>
                    </w:rPr>
                    <w:t>57.14</w:t>
                  </w:r>
                  <w:r w:rsidR="00C544EA" w:rsidRPr="001621B5">
                    <w:rPr>
                      <w:rFonts w:ascii="Arial" w:hAnsi="Arial"/>
                      <w:b/>
                      <w:sz w:val="20"/>
                    </w:rPr>
                    <w:t>%</w:t>
                  </w:r>
                </w:p>
              </w:tc>
              <w:tc>
                <w:tcPr>
                  <w:tcW w:w="1219" w:type="dxa"/>
                </w:tcPr>
                <w:p w:rsidR="00C544EA" w:rsidRPr="001621B5" w:rsidRDefault="00C544EA" w:rsidP="00122DC4">
                  <w:pPr>
                    <w:jc w:val="center"/>
                    <w:rPr>
                      <w:rFonts w:ascii="Arial" w:hAnsi="Arial"/>
                      <w:b/>
                      <w:sz w:val="20"/>
                    </w:rPr>
                  </w:pPr>
                  <w:r w:rsidRPr="001621B5">
                    <w:rPr>
                      <w:rFonts w:ascii="Arial" w:hAnsi="Arial"/>
                      <w:b/>
                      <w:sz w:val="20"/>
                    </w:rPr>
                    <w:t>7</w:t>
                  </w:r>
                </w:p>
              </w:tc>
              <w:tc>
                <w:tcPr>
                  <w:tcW w:w="1679" w:type="dxa"/>
                </w:tcPr>
                <w:p w:rsidR="00C544EA" w:rsidRPr="001621B5" w:rsidRDefault="00C544EA" w:rsidP="00122DC4">
                  <w:pPr>
                    <w:jc w:val="center"/>
                    <w:rPr>
                      <w:rFonts w:ascii="Arial" w:hAnsi="Arial"/>
                      <w:b/>
                      <w:sz w:val="20"/>
                    </w:rPr>
                  </w:pPr>
                  <w:r w:rsidRPr="001621B5">
                    <w:rPr>
                      <w:rFonts w:ascii="Arial" w:hAnsi="Arial"/>
                      <w:b/>
                      <w:sz w:val="20"/>
                    </w:rPr>
                    <w:t>2</w:t>
                  </w:r>
                </w:p>
              </w:tc>
              <w:tc>
                <w:tcPr>
                  <w:tcW w:w="1314" w:type="dxa"/>
                </w:tcPr>
                <w:p w:rsidR="00C544EA" w:rsidRPr="001621B5" w:rsidRDefault="00C544EA" w:rsidP="00122DC4">
                  <w:pPr>
                    <w:jc w:val="center"/>
                    <w:rPr>
                      <w:rFonts w:ascii="Arial" w:hAnsi="Arial"/>
                      <w:b/>
                      <w:sz w:val="20"/>
                    </w:rPr>
                  </w:pPr>
                  <w:r w:rsidRPr="001621B5">
                    <w:rPr>
                      <w:rFonts w:ascii="Arial" w:hAnsi="Arial"/>
                      <w:b/>
                      <w:sz w:val="20"/>
                    </w:rPr>
                    <w:t>28.57%</w:t>
                  </w:r>
                </w:p>
              </w:tc>
            </w:tr>
            <w:tr w:rsidR="00C544EA" w:rsidRPr="00122DC4">
              <w:trPr>
                <w:jc w:val="center"/>
              </w:trPr>
              <w:tc>
                <w:tcPr>
                  <w:tcW w:w="1182" w:type="dxa"/>
                </w:tcPr>
                <w:p w:rsidR="00C544EA" w:rsidRPr="001621B5" w:rsidRDefault="00C544EA" w:rsidP="00122DC4">
                  <w:pPr>
                    <w:rPr>
                      <w:rFonts w:ascii="Arial" w:hAnsi="Arial"/>
                      <w:b/>
                      <w:sz w:val="20"/>
                    </w:rPr>
                  </w:pPr>
                  <w:r w:rsidRPr="001621B5">
                    <w:rPr>
                      <w:rFonts w:ascii="Arial" w:hAnsi="Arial"/>
                      <w:b/>
                      <w:sz w:val="20"/>
                    </w:rPr>
                    <w:t>AC 321</w:t>
                  </w:r>
                </w:p>
              </w:tc>
              <w:tc>
                <w:tcPr>
                  <w:tcW w:w="1194" w:type="dxa"/>
                </w:tcPr>
                <w:p w:rsidR="00C544EA" w:rsidRPr="001621B5" w:rsidRDefault="002F16E7" w:rsidP="00122DC4">
                  <w:pPr>
                    <w:jc w:val="center"/>
                    <w:rPr>
                      <w:rFonts w:ascii="Arial" w:hAnsi="Arial"/>
                      <w:b/>
                      <w:sz w:val="20"/>
                    </w:rPr>
                  </w:pPr>
                  <w:r w:rsidRPr="001621B5">
                    <w:rPr>
                      <w:rFonts w:ascii="Arial" w:hAnsi="Arial"/>
                      <w:b/>
                      <w:sz w:val="20"/>
                    </w:rPr>
                    <w:t>5</w:t>
                  </w:r>
                </w:p>
              </w:tc>
              <w:tc>
                <w:tcPr>
                  <w:tcW w:w="1679" w:type="dxa"/>
                </w:tcPr>
                <w:p w:rsidR="00C544EA" w:rsidRPr="001621B5" w:rsidRDefault="002F16E7" w:rsidP="00122DC4">
                  <w:pPr>
                    <w:jc w:val="center"/>
                    <w:rPr>
                      <w:rFonts w:ascii="Arial" w:hAnsi="Arial"/>
                      <w:b/>
                      <w:sz w:val="20"/>
                    </w:rPr>
                  </w:pPr>
                  <w:r w:rsidRPr="001621B5">
                    <w:rPr>
                      <w:rFonts w:ascii="Arial" w:hAnsi="Arial"/>
                      <w:b/>
                      <w:sz w:val="20"/>
                    </w:rPr>
                    <w:t>5</w:t>
                  </w:r>
                </w:p>
              </w:tc>
              <w:tc>
                <w:tcPr>
                  <w:tcW w:w="1193" w:type="dxa"/>
                </w:tcPr>
                <w:p w:rsidR="00C544EA" w:rsidRPr="001621B5" w:rsidRDefault="002F16E7" w:rsidP="00122DC4">
                  <w:pPr>
                    <w:jc w:val="center"/>
                    <w:rPr>
                      <w:rFonts w:ascii="Arial" w:hAnsi="Arial"/>
                      <w:b/>
                      <w:sz w:val="20"/>
                    </w:rPr>
                  </w:pPr>
                  <w:r w:rsidRPr="001621B5">
                    <w:rPr>
                      <w:rFonts w:ascii="Arial" w:hAnsi="Arial"/>
                      <w:b/>
                      <w:sz w:val="20"/>
                    </w:rPr>
                    <w:t>100.00</w:t>
                  </w:r>
                  <w:r w:rsidR="00C544EA" w:rsidRPr="001621B5">
                    <w:rPr>
                      <w:rFonts w:ascii="Arial" w:hAnsi="Arial"/>
                      <w:b/>
                      <w:sz w:val="20"/>
                    </w:rPr>
                    <w:t>%</w:t>
                  </w:r>
                </w:p>
              </w:tc>
              <w:tc>
                <w:tcPr>
                  <w:tcW w:w="1219" w:type="dxa"/>
                </w:tcPr>
                <w:p w:rsidR="00C544EA" w:rsidRPr="001621B5" w:rsidRDefault="00C544EA" w:rsidP="00122DC4">
                  <w:pPr>
                    <w:jc w:val="center"/>
                    <w:rPr>
                      <w:rFonts w:ascii="Arial" w:hAnsi="Arial"/>
                      <w:b/>
                      <w:sz w:val="20"/>
                    </w:rPr>
                  </w:pPr>
                  <w:r w:rsidRPr="001621B5">
                    <w:rPr>
                      <w:rFonts w:ascii="Arial" w:hAnsi="Arial"/>
                      <w:b/>
                      <w:sz w:val="20"/>
                    </w:rPr>
                    <w:t>4</w:t>
                  </w:r>
                </w:p>
              </w:tc>
              <w:tc>
                <w:tcPr>
                  <w:tcW w:w="1679" w:type="dxa"/>
                </w:tcPr>
                <w:p w:rsidR="00C544EA" w:rsidRPr="001621B5" w:rsidRDefault="00C544EA" w:rsidP="00122DC4">
                  <w:pPr>
                    <w:jc w:val="center"/>
                    <w:rPr>
                      <w:rFonts w:ascii="Arial" w:hAnsi="Arial"/>
                      <w:b/>
                      <w:sz w:val="20"/>
                    </w:rPr>
                  </w:pPr>
                  <w:r w:rsidRPr="001621B5">
                    <w:rPr>
                      <w:rFonts w:ascii="Arial" w:hAnsi="Arial"/>
                      <w:b/>
                      <w:sz w:val="20"/>
                    </w:rPr>
                    <w:t>1</w:t>
                  </w:r>
                </w:p>
              </w:tc>
              <w:tc>
                <w:tcPr>
                  <w:tcW w:w="1314" w:type="dxa"/>
                </w:tcPr>
                <w:p w:rsidR="00C544EA" w:rsidRPr="001621B5" w:rsidRDefault="00C544EA" w:rsidP="00122DC4">
                  <w:pPr>
                    <w:jc w:val="center"/>
                    <w:rPr>
                      <w:rFonts w:ascii="Arial" w:hAnsi="Arial"/>
                      <w:b/>
                      <w:sz w:val="20"/>
                    </w:rPr>
                  </w:pPr>
                  <w:r w:rsidRPr="001621B5">
                    <w:rPr>
                      <w:rFonts w:ascii="Arial" w:hAnsi="Arial"/>
                      <w:b/>
                      <w:sz w:val="20"/>
                    </w:rPr>
                    <w:t>25.00%</w:t>
                  </w:r>
                </w:p>
              </w:tc>
            </w:tr>
            <w:tr w:rsidR="00C544EA" w:rsidRPr="00122DC4">
              <w:trPr>
                <w:jc w:val="center"/>
              </w:trPr>
              <w:tc>
                <w:tcPr>
                  <w:tcW w:w="1182" w:type="dxa"/>
                </w:tcPr>
                <w:p w:rsidR="00C544EA" w:rsidRPr="002F16E7" w:rsidRDefault="00C544EA" w:rsidP="00122DC4">
                  <w:pPr>
                    <w:rPr>
                      <w:rFonts w:ascii="Arial" w:hAnsi="Arial"/>
                      <w:color w:val="808080" w:themeColor="background1" w:themeShade="80"/>
                      <w:sz w:val="20"/>
                    </w:rPr>
                  </w:pPr>
                  <w:r w:rsidRPr="002F16E7">
                    <w:rPr>
                      <w:rFonts w:ascii="Arial" w:hAnsi="Arial"/>
                      <w:color w:val="808080" w:themeColor="background1" w:themeShade="80"/>
                      <w:sz w:val="20"/>
                    </w:rPr>
                    <w:t>AC 325</w:t>
                  </w:r>
                </w:p>
              </w:tc>
              <w:tc>
                <w:tcPr>
                  <w:tcW w:w="1194" w:type="dxa"/>
                </w:tcPr>
                <w:p w:rsidR="00C544EA" w:rsidRPr="002F16E7" w:rsidRDefault="002F16E7" w:rsidP="00122DC4">
                  <w:pPr>
                    <w:jc w:val="center"/>
                    <w:rPr>
                      <w:rFonts w:ascii="Arial" w:hAnsi="Arial"/>
                      <w:color w:val="808080" w:themeColor="background1" w:themeShade="80"/>
                      <w:sz w:val="20"/>
                    </w:rPr>
                  </w:pPr>
                  <w:r w:rsidRPr="002F16E7">
                    <w:rPr>
                      <w:rFonts w:ascii="Arial" w:hAnsi="Arial"/>
                      <w:color w:val="808080" w:themeColor="background1" w:themeShade="80"/>
                      <w:sz w:val="20"/>
                    </w:rPr>
                    <w:t>Not Available</w:t>
                  </w:r>
                </w:p>
              </w:tc>
              <w:tc>
                <w:tcPr>
                  <w:tcW w:w="1679" w:type="dxa"/>
                </w:tcPr>
                <w:p w:rsidR="002F16E7" w:rsidRPr="002F16E7" w:rsidRDefault="002F16E7" w:rsidP="00122DC4">
                  <w:pPr>
                    <w:jc w:val="center"/>
                    <w:rPr>
                      <w:rFonts w:ascii="Arial" w:hAnsi="Arial"/>
                      <w:color w:val="808080" w:themeColor="background1" w:themeShade="80"/>
                      <w:sz w:val="20"/>
                    </w:rPr>
                  </w:pPr>
                  <w:r w:rsidRPr="002F16E7">
                    <w:rPr>
                      <w:rFonts w:ascii="Arial" w:hAnsi="Arial"/>
                      <w:color w:val="808080" w:themeColor="background1" w:themeShade="80"/>
                      <w:sz w:val="20"/>
                    </w:rPr>
                    <w:t xml:space="preserve">Not </w:t>
                  </w:r>
                </w:p>
                <w:p w:rsidR="00C544EA" w:rsidRPr="002F16E7" w:rsidRDefault="002F16E7" w:rsidP="00122DC4">
                  <w:pPr>
                    <w:jc w:val="center"/>
                    <w:rPr>
                      <w:rFonts w:ascii="Arial" w:hAnsi="Arial"/>
                      <w:color w:val="808080" w:themeColor="background1" w:themeShade="80"/>
                      <w:sz w:val="20"/>
                    </w:rPr>
                  </w:pPr>
                  <w:r w:rsidRPr="002F16E7">
                    <w:rPr>
                      <w:rFonts w:ascii="Arial" w:hAnsi="Arial"/>
                      <w:color w:val="808080" w:themeColor="background1" w:themeShade="80"/>
                      <w:sz w:val="20"/>
                    </w:rPr>
                    <w:t>Available</w:t>
                  </w:r>
                </w:p>
              </w:tc>
              <w:tc>
                <w:tcPr>
                  <w:tcW w:w="1193" w:type="dxa"/>
                </w:tcPr>
                <w:p w:rsidR="00C544EA" w:rsidRPr="002F16E7" w:rsidRDefault="002F16E7" w:rsidP="00122DC4">
                  <w:pPr>
                    <w:jc w:val="center"/>
                    <w:rPr>
                      <w:rFonts w:ascii="Arial" w:hAnsi="Arial"/>
                      <w:color w:val="808080" w:themeColor="background1" w:themeShade="80"/>
                      <w:sz w:val="20"/>
                    </w:rPr>
                  </w:pPr>
                  <w:r w:rsidRPr="002F16E7">
                    <w:rPr>
                      <w:rFonts w:ascii="Arial" w:hAnsi="Arial"/>
                      <w:color w:val="808080" w:themeColor="background1" w:themeShade="80"/>
                      <w:sz w:val="20"/>
                    </w:rPr>
                    <w:t>-</w:t>
                  </w:r>
                </w:p>
              </w:tc>
              <w:tc>
                <w:tcPr>
                  <w:tcW w:w="1219" w:type="dxa"/>
                </w:tcPr>
                <w:p w:rsidR="00C544EA" w:rsidRPr="002F16E7" w:rsidRDefault="00C544EA" w:rsidP="00122DC4">
                  <w:pPr>
                    <w:jc w:val="center"/>
                    <w:rPr>
                      <w:rFonts w:ascii="Arial" w:hAnsi="Arial"/>
                      <w:color w:val="808080" w:themeColor="background1" w:themeShade="80"/>
                      <w:sz w:val="20"/>
                    </w:rPr>
                  </w:pPr>
                  <w:r w:rsidRPr="002F16E7">
                    <w:rPr>
                      <w:rFonts w:ascii="Arial" w:hAnsi="Arial"/>
                      <w:color w:val="808080" w:themeColor="background1" w:themeShade="80"/>
                      <w:sz w:val="20"/>
                    </w:rPr>
                    <w:t>7</w:t>
                  </w:r>
                </w:p>
              </w:tc>
              <w:tc>
                <w:tcPr>
                  <w:tcW w:w="1679" w:type="dxa"/>
                </w:tcPr>
                <w:p w:rsidR="00C544EA" w:rsidRPr="002F16E7" w:rsidRDefault="00C544EA" w:rsidP="00122DC4">
                  <w:pPr>
                    <w:jc w:val="center"/>
                    <w:rPr>
                      <w:rFonts w:ascii="Arial" w:hAnsi="Arial"/>
                      <w:color w:val="808080" w:themeColor="background1" w:themeShade="80"/>
                      <w:sz w:val="20"/>
                    </w:rPr>
                  </w:pPr>
                  <w:r w:rsidRPr="002F16E7">
                    <w:rPr>
                      <w:rFonts w:ascii="Arial" w:hAnsi="Arial"/>
                      <w:color w:val="808080" w:themeColor="background1" w:themeShade="80"/>
                      <w:sz w:val="20"/>
                    </w:rPr>
                    <w:t>4</w:t>
                  </w:r>
                </w:p>
              </w:tc>
              <w:tc>
                <w:tcPr>
                  <w:tcW w:w="1314" w:type="dxa"/>
                </w:tcPr>
                <w:p w:rsidR="00C544EA" w:rsidRPr="002F16E7" w:rsidRDefault="00C544EA" w:rsidP="00122DC4">
                  <w:pPr>
                    <w:jc w:val="center"/>
                    <w:rPr>
                      <w:rFonts w:ascii="Arial" w:hAnsi="Arial"/>
                      <w:color w:val="808080" w:themeColor="background1" w:themeShade="80"/>
                      <w:sz w:val="20"/>
                    </w:rPr>
                  </w:pPr>
                  <w:r w:rsidRPr="002F16E7">
                    <w:rPr>
                      <w:rFonts w:ascii="Arial" w:hAnsi="Arial"/>
                      <w:color w:val="808080" w:themeColor="background1" w:themeShade="80"/>
                      <w:sz w:val="20"/>
                    </w:rPr>
                    <w:t>57.14%</w:t>
                  </w:r>
                </w:p>
              </w:tc>
            </w:tr>
            <w:tr w:rsidR="00C544EA" w:rsidRPr="00122DC4">
              <w:trPr>
                <w:jc w:val="center"/>
              </w:trPr>
              <w:tc>
                <w:tcPr>
                  <w:tcW w:w="1182" w:type="dxa"/>
                </w:tcPr>
                <w:p w:rsidR="00C544EA" w:rsidRPr="001621B5" w:rsidRDefault="00C544EA" w:rsidP="00122DC4">
                  <w:pPr>
                    <w:rPr>
                      <w:rFonts w:ascii="Arial" w:hAnsi="Arial"/>
                      <w:color w:val="808080" w:themeColor="background1" w:themeShade="80"/>
                      <w:sz w:val="20"/>
                    </w:rPr>
                  </w:pPr>
                  <w:r w:rsidRPr="001621B5">
                    <w:rPr>
                      <w:rFonts w:ascii="Arial" w:hAnsi="Arial"/>
                      <w:color w:val="808080" w:themeColor="background1" w:themeShade="80"/>
                      <w:sz w:val="20"/>
                    </w:rPr>
                    <w:t>AC 330</w:t>
                  </w:r>
                </w:p>
              </w:tc>
              <w:tc>
                <w:tcPr>
                  <w:tcW w:w="1194" w:type="dxa"/>
                </w:tcPr>
                <w:p w:rsidR="00C544EA" w:rsidRPr="001621B5" w:rsidRDefault="002F16E7" w:rsidP="00122DC4">
                  <w:pPr>
                    <w:jc w:val="center"/>
                    <w:rPr>
                      <w:rFonts w:ascii="Arial" w:hAnsi="Arial"/>
                      <w:color w:val="808080" w:themeColor="background1" w:themeShade="80"/>
                      <w:sz w:val="20"/>
                    </w:rPr>
                  </w:pPr>
                  <w:r w:rsidRPr="001621B5">
                    <w:rPr>
                      <w:rFonts w:ascii="Arial" w:hAnsi="Arial"/>
                      <w:color w:val="808080" w:themeColor="background1" w:themeShade="80"/>
                      <w:sz w:val="20"/>
                    </w:rPr>
                    <w:t>4</w:t>
                  </w:r>
                </w:p>
              </w:tc>
              <w:tc>
                <w:tcPr>
                  <w:tcW w:w="1679" w:type="dxa"/>
                </w:tcPr>
                <w:p w:rsidR="00C544EA" w:rsidRPr="001621B5" w:rsidRDefault="002F16E7" w:rsidP="00122DC4">
                  <w:pPr>
                    <w:jc w:val="center"/>
                    <w:rPr>
                      <w:rFonts w:ascii="Arial" w:hAnsi="Arial"/>
                      <w:color w:val="808080" w:themeColor="background1" w:themeShade="80"/>
                      <w:sz w:val="20"/>
                    </w:rPr>
                  </w:pPr>
                  <w:r w:rsidRPr="001621B5">
                    <w:rPr>
                      <w:rFonts w:ascii="Arial" w:hAnsi="Arial"/>
                      <w:color w:val="808080" w:themeColor="background1" w:themeShade="80"/>
                      <w:sz w:val="20"/>
                    </w:rPr>
                    <w:t>4</w:t>
                  </w:r>
                </w:p>
              </w:tc>
              <w:tc>
                <w:tcPr>
                  <w:tcW w:w="1193"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100.00%</w:t>
                  </w:r>
                </w:p>
              </w:tc>
              <w:tc>
                <w:tcPr>
                  <w:tcW w:w="1219"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3</w:t>
                  </w:r>
                </w:p>
              </w:tc>
              <w:tc>
                <w:tcPr>
                  <w:tcW w:w="1679"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3</w:t>
                  </w:r>
                </w:p>
              </w:tc>
              <w:tc>
                <w:tcPr>
                  <w:tcW w:w="1314"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100.00%</w:t>
                  </w:r>
                </w:p>
              </w:tc>
            </w:tr>
            <w:tr w:rsidR="00C544EA" w:rsidRPr="00122DC4">
              <w:trPr>
                <w:jc w:val="center"/>
              </w:trPr>
              <w:tc>
                <w:tcPr>
                  <w:tcW w:w="1182" w:type="dxa"/>
                </w:tcPr>
                <w:p w:rsidR="00C544EA" w:rsidRPr="001621B5" w:rsidRDefault="00C544EA" w:rsidP="00122DC4">
                  <w:pPr>
                    <w:rPr>
                      <w:rFonts w:ascii="Arial" w:hAnsi="Arial"/>
                      <w:color w:val="808080" w:themeColor="background1" w:themeShade="80"/>
                      <w:sz w:val="20"/>
                    </w:rPr>
                  </w:pPr>
                  <w:r w:rsidRPr="001621B5">
                    <w:rPr>
                      <w:rFonts w:ascii="Arial" w:hAnsi="Arial"/>
                      <w:color w:val="808080" w:themeColor="background1" w:themeShade="80"/>
                      <w:sz w:val="20"/>
                    </w:rPr>
                    <w:t>AC 335</w:t>
                  </w:r>
                </w:p>
              </w:tc>
              <w:tc>
                <w:tcPr>
                  <w:tcW w:w="1194" w:type="dxa"/>
                </w:tcPr>
                <w:p w:rsidR="00C544EA" w:rsidRPr="001621B5" w:rsidRDefault="002F16E7" w:rsidP="00122DC4">
                  <w:pPr>
                    <w:jc w:val="center"/>
                    <w:rPr>
                      <w:rFonts w:ascii="Arial" w:hAnsi="Arial"/>
                      <w:color w:val="808080" w:themeColor="background1" w:themeShade="80"/>
                      <w:sz w:val="20"/>
                    </w:rPr>
                  </w:pPr>
                  <w:r w:rsidRPr="001621B5">
                    <w:rPr>
                      <w:rFonts w:ascii="Arial" w:hAnsi="Arial"/>
                      <w:color w:val="808080" w:themeColor="background1" w:themeShade="80"/>
                      <w:sz w:val="20"/>
                    </w:rPr>
                    <w:t>6</w:t>
                  </w:r>
                </w:p>
              </w:tc>
              <w:tc>
                <w:tcPr>
                  <w:tcW w:w="1679" w:type="dxa"/>
                </w:tcPr>
                <w:p w:rsidR="00C544EA" w:rsidRPr="001621B5" w:rsidRDefault="002F16E7" w:rsidP="00122DC4">
                  <w:pPr>
                    <w:jc w:val="center"/>
                    <w:rPr>
                      <w:rFonts w:ascii="Arial" w:hAnsi="Arial"/>
                      <w:color w:val="808080" w:themeColor="background1" w:themeShade="80"/>
                      <w:sz w:val="20"/>
                    </w:rPr>
                  </w:pPr>
                  <w:r w:rsidRPr="001621B5">
                    <w:rPr>
                      <w:rFonts w:ascii="Arial" w:hAnsi="Arial"/>
                      <w:color w:val="808080" w:themeColor="background1" w:themeShade="80"/>
                      <w:sz w:val="20"/>
                    </w:rPr>
                    <w:t>3</w:t>
                  </w:r>
                </w:p>
              </w:tc>
              <w:tc>
                <w:tcPr>
                  <w:tcW w:w="1193" w:type="dxa"/>
                </w:tcPr>
                <w:p w:rsidR="00C544EA" w:rsidRPr="001621B5" w:rsidRDefault="002F16E7" w:rsidP="00122DC4">
                  <w:pPr>
                    <w:jc w:val="center"/>
                    <w:rPr>
                      <w:rFonts w:ascii="Arial" w:hAnsi="Arial"/>
                      <w:color w:val="808080" w:themeColor="background1" w:themeShade="80"/>
                      <w:sz w:val="20"/>
                    </w:rPr>
                  </w:pPr>
                  <w:r w:rsidRPr="001621B5">
                    <w:rPr>
                      <w:rFonts w:ascii="Arial" w:hAnsi="Arial"/>
                      <w:color w:val="808080" w:themeColor="background1" w:themeShade="80"/>
                      <w:sz w:val="20"/>
                    </w:rPr>
                    <w:t>5</w:t>
                  </w:r>
                  <w:r w:rsidR="00C544EA" w:rsidRPr="001621B5">
                    <w:rPr>
                      <w:rFonts w:ascii="Arial" w:hAnsi="Arial"/>
                      <w:color w:val="808080" w:themeColor="background1" w:themeShade="80"/>
                      <w:sz w:val="20"/>
                    </w:rPr>
                    <w:t>0.00%</w:t>
                  </w:r>
                </w:p>
              </w:tc>
              <w:tc>
                <w:tcPr>
                  <w:tcW w:w="1219"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4</w:t>
                  </w:r>
                </w:p>
              </w:tc>
              <w:tc>
                <w:tcPr>
                  <w:tcW w:w="1679"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2</w:t>
                  </w:r>
                </w:p>
              </w:tc>
              <w:tc>
                <w:tcPr>
                  <w:tcW w:w="1314"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50.00%</w:t>
                  </w:r>
                </w:p>
              </w:tc>
            </w:tr>
            <w:tr w:rsidR="00C544EA" w:rsidRPr="00122DC4">
              <w:trPr>
                <w:jc w:val="center"/>
              </w:trPr>
              <w:tc>
                <w:tcPr>
                  <w:tcW w:w="1182" w:type="dxa"/>
                </w:tcPr>
                <w:p w:rsidR="00C544EA" w:rsidRPr="001621B5" w:rsidRDefault="00C544EA" w:rsidP="00122DC4">
                  <w:pPr>
                    <w:rPr>
                      <w:rFonts w:ascii="Arial" w:hAnsi="Arial"/>
                      <w:color w:val="808080" w:themeColor="background1" w:themeShade="80"/>
                      <w:sz w:val="20"/>
                    </w:rPr>
                  </w:pPr>
                  <w:r w:rsidRPr="001621B5">
                    <w:rPr>
                      <w:rFonts w:ascii="Arial" w:hAnsi="Arial"/>
                      <w:color w:val="808080" w:themeColor="background1" w:themeShade="80"/>
                      <w:sz w:val="20"/>
                    </w:rPr>
                    <w:t>AC 370</w:t>
                  </w:r>
                </w:p>
              </w:tc>
              <w:tc>
                <w:tcPr>
                  <w:tcW w:w="1194" w:type="dxa"/>
                </w:tcPr>
                <w:p w:rsidR="00C544EA" w:rsidRPr="001621B5" w:rsidRDefault="002F16E7" w:rsidP="00122DC4">
                  <w:pPr>
                    <w:jc w:val="center"/>
                    <w:rPr>
                      <w:rFonts w:ascii="Arial" w:hAnsi="Arial"/>
                      <w:color w:val="808080" w:themeColor="background1" w:themeShade="80"/>
                      <w:sz w:val="20"/>
                    </w:rPr>
                  </w:pPr>
                  <w:r w:rsidRPr="001621B5">
                    <w:rPr>
                      <w:rFonts w:ascii="Arial" w:hAnsi="Arial"/>
                      <w:color w:val="808080" w:themeColor="background1" w:themeShade="80"/>
                      <w:sz w:val="20"/>
                    </w:rPr>
                    <w:t>4</w:t>
                  </w:r>
                </w:p>
              </w:tc>
              <w:tc>
                <w:tcPr>
                  <w:tcW w:w="1679" w:type="dxa"/>
                </w:tcPr>
                <w:p w:rsidR="00C544EA" w:rsidRPr="001621B5" w:rsidRDefault="002F16E7" w:rsidP="00122DC4">
                  <w:pPr>
                    <w:jc w:val="center"/>
                    <w:rPr>
                      <w:rFonts w:ascii="Arial" w:hAnsi="Arial"/>
                      <w:color w:val="808080" w:themeColor="background1" w:themeShade="80"/>
                      <w:sz w:val="20"/>
                    </w:rPr>
                  </w:pPr>
                  <w:r w:rsidRPr="001621B5">
                    <w:rPr>
                      <w:rFonts w:ascii="Arial" w:hAnsi="Arial"/>
                      <w:color w:val="808080" w:themeColor="background1" w:themeShade="80"/>
                      <w:sz w:val="20"/>
                    </w:rPr>
                    <w:t>4</w:t>
                  </w:r>
                </w:p>
              </w:tc>
              <w:tc>
                <w:tcPr>
                  <w:tcW w:w="1193"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100.00%</w:t>
                  </w:r>
                </w:p>
              </w:tc>
              <w:tc>
                <w:tcPr>
                  <w:tcW w:w="1219"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2</w:t>
                  </w:r>
                </w:p>
              </w:tc>
              <w:tc>
                <w:tcPr>
                  <w:tcW w:w="1679"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2</w:t>
                  </w:r>
                </w:p>
              </w:tc>
              <w:tc>
                <w:tcPr>
                  <w:tcW w:w="1314" w:type="dxa"/>
                </w:tcPr>
                <w:p w:rsidR="00C544EA" w:rsidRPr="001621B5" w:rsidRDefault="00C544EA" w:rsidP="00122DC4">
                  <w:pPr>
                    <w:jc w:val="center"/>
                    <w:rPr>
                      <w:rFonts w:ascii="Arial" w:hAnsi="Arial"/>
                      <w:color w:val="808080" w:themeColor="background1" w:themeShade="80"/>
                      <w:sz w:val="20"/>
                    </w:rPr>
                  </w:pPr>
                  <w:r w:rsidRPr="001621B5">
                    <w:rPr>
                      <w:rFonts w:ascii="Arial" w:hAnsi="Arial"/>
                      <w:color w:val="808080" w:themeColor="background1" w:themeShade="80"/>
                      <w:sz w:val="20"/>
                    </w:rPr>
                    <w:t>100.00%</w:t>
                  </w:r>
                </w:p>
              </w:tc>
            </w:tr>
          </w:tbl>
          <w:p w:rsidR="00C544EA" w:rsidRPr="00122DC4" w:rsidRDefault="00C544EA" w:rsidP="00122DC4">
            <w:pPr>
              <w:rPr>
                <w:rFonts w:ascii="Arial" w:hAnsi="Arial"/>
                <w:b/>
                <w:sz w:val="20"/>
              </w:rPr>
            </w:pPr>
          </w:p>
          <w:p w:rsidR="002F16E7" w:rsidRDefault="002F16E7" w:rsidP="002F16E7">
            <w:pPr>
              <w:jc w:val="both"/>
              <w:rPr>
                <w:rFonts w:ascii="Arial" w:hAnsi="Arial"/>
                <w:b/>
                <w:sz w:val="20"/>
              </w:rPr>
            </w:pPr>
            <w:r>
              <w:rPr>
                <w:rFonts w:ascii="Arial" w:hAnsi="Arial"/>
                <w:b/>
                <w:sz w:val="20"/>
              </w:rPr>
              <w:t>There was a general increase in the success rates in the current year, despite the bad publicity the program had last year. This is because of the following factors:</w:t>
            </w:r>
          </w:p>
          <w:p w:rsidR="002F16E7" w:rsidRDefault="002F16E7" w:rsidP="002F16E7">
            <w:pPr>
              <w:jc w:val="both"/>
              <w:rPr>
                <w:rFonts w:ascii="Arial" w:hAnsi="Arial"/>
                <w:b/>
                <w:sz w:val="20"/>
              </w:rPr>
            </w:pPr>
          </w:p>
          <w:p w:rsidR="002F16E7" w:rsidRDefault="002F16E7" w:rsidP="00667147">
            <w:pPr>
              <w:pStyle w:val="ListParagraph"/>
              <w:numPr>
                <w:ilvl w:val="0"/>
                <w:numId w:val="4"/>
              </w:numPr>
              <w:jc w:val="both"/>
              <w:rPr>
                <w:rFonts w:ascii="Arial" w:hAnsi="Arial"/>
                <w:b/>
                <w:sz w:val="20"/>
              </w:rPr>
            </w:pPr>
            <w:r>
              <w:rPr>
                <w:rFonts w:ascii="Arial" w:hAnsi="Arial"/>
                <w:b/>
                <w:sz w:val="20"/>
              </w:rPr>
              <w:t>Most students enrolled in the program are matured, duly employed, and are driven to succeed.</w:t>
            </w:r>
            <w:r w:rsidR="00667147">
              <w:rPr>
                <w:rFonts w:ascii="Arial" w:hAnsi="Arial"/>
                <w:b/>
                <w:sz w:val="20"/>
              </w:rPr>
              <w:t xml:space="preserve"> They fully understand the importance of turning in good academic requirements on time, and met every deadline, unless circumstances demand that they do otherwise.</w:t>
            </w:r>
          </w:p>
          <w:p w:rsidR="002F16E7" w:rsidRDefault="002F16E7" w:rsidP="002F16E7">
            <w:pPr>
              <w:pStyle w:val="ListParagraph"/>
              <w:jc w:val="both"/>
              <w:rPr>
                <w:rFonts w:ascii="Arial" w:hAnsi="Arial"/>
                <w:b/>
                <w:sz w:val="20"/>
              </w:rPr>
            </w:pPr>
          </w:p>
          <w:p w:rsidR="00667147" w:rsidRDefault="002F16E7" w:rsidP="00667147">
            <w:pPr>
              <w:pStyle w:val="ListParagraph"/>
              <w:numPr>
                <w:ilvl w:val="0"/>
                <w:numId w:val="4"/>
              </w:numPr>
              <w:jc w:val="both"/>
              <w:rPr>
                <w:rFonts w:ascii="Arial" w:hAnsi="Arial"/>
                <w:b/>
                <w:sz w:val="20"/>
              </w:rPr>
            </w:pPr>
            <w:r>
              <w:rPr>
                <w:rFonts w:ascii="Arial" w:hAnsi="Arial"/>
                <w:b/>
                <w:sz w:val="20"/>
              </w:rPr>
              <w:t>Although their comprehension may falter at times, but because of determination and the changes in the teaching strategies, students were very much involved in the learning process.</w:t>
            </w:r>
          </w:p>
          <w:p w:rsidR="00667147" w:rsidRPr="00667147" w:rsidRDefault="00667147" w:rsidP="00667147">
            <w:pPr>
              <w:jc w:val="both"/>
              <w:rPr>
                <w:rFonts w:ascii="Arial" w:hAnsi="Arial"/>
                <w:b/>
                <w:sz w:val="20"/>
              </w:rPr>
            </w:pPr>
          </w:p>
          <w:p w:rsidR="001621B5" w:rsidRPr="008D6B1E" w:rsidRDefault="00667147" w:rsidP="00122DC4">
            <w:pPr>
              <w:pStyle w:val="ListParagraph"/>
              <w:numPr>
                <w:ilvl w:val="0"/>
                <w:numId w:val="4"/>
              </w:numPr>
              <w:jc w:val="both"/>
              <w:rPr>
                <w:rFonts w:ascii="Arial" w:hAnsi="Arial"/>
                <w:b/>
                <w:sz w:val="20"/>
              </w:rPr>
            </w:pPr>
            <w:r>
              <w:rPr>
                <w:rFonts w:ascii="Arial" w:hAnsi="Arial"/>
                <w:b/>
                <w:sz w:val="20"/>
              </w:rPr>
              <w:t xml:space="preserve">The change in the textbook, and the accessibility of the authors’/publisher’s student companion site enhanced the learning process. </w:t>
            </w:r>
          </w:p>
          <w:p w:rsidR="00C544EA" w:rsidRPr="00122DC4" w:rsidRDefault="00C544EA" w:rsidP="00122DC4">
            <w:pPr>
              <w:rPr>
                <w:rFonts w:ascii="Arial" w:hAnsi="Arial"/>
                <w:sz w:val="20"/>
              </w:rPr>
            </w:pPr>
          </w:p>
        </w:tc>
      </w:tr>
      <w:tr w:rsidR="00C544EA" w:rsidRPr="00122DC4">
        <w:tc>
          <w:tcPr>
            <w:tcW w:w="9576" w:type="dxa"/>
          </w:tcPr>
          <w:p w:rsidR="00667147" w:rsidRDefault="00C544EA">
            <w:pPr>
              <w:rPr>
                <w:rFonts w:ascii="Arial" w:hAnsi="Arial"/>
                <w:i/>
                <w:sz w:val="20"/>
              </w:rPr>
            </w:pPr>
            <w:r w:rsidRPr="00122DC4">
              <w:rPr>
                <w:rFonts w:ascii="Arial" w:hAnsi="Arial"/>
                <w:i/>
                <w:sz w:val="20"/>
              </w:rPr>
              <w:t>1a: Use of Results to Improve Unit Services:</w:t>
            </w:r>
          </w:p>
          <w:p w:rsidR="00667147" w:rsidRDefault="00667147">
            <w:pPr>
              <w:rPr>
                <w:rFonts w:ascii="Arial" w:hAnsi="Arial"/>
                <w:i/>
                <w:sz w:val="20"/>
              </w:rPr>
            </w:pPr>
          </w:p>
          <w:p w:rsidR="00C544EA" w:rsidRPr="00667147" w:rsidRDefault="001621B5">
            <w:pPr>
              <w:rPr>
                <w:rFonts w:ascii="Arial" w:hAnsi="Arial"/>
                <w:b/>
                <w:sz w:val="20"/>
              </w:rPr>
            </w:pPr>
            <w:r>
              <w:rPr>
                <w:rFonts w:ascii="Arial" w:hAnsi="Arial"/>
                <w:b/>
                <w:sz w:val="20"/>
              </w:rPr>
              <w:t>Since the general increase in the trend can be largely contributed to student factor, t</w:t>
            </w:r>
            <w:r w:rsidR="00667147">
              <w:rPr>
                <w:rFonts w:ascii="Arial" w:hAnsi="Arial"/>
                <w:b/>
                <w:sz w:val="20"/>
              </w:rPr>
              <w:t>he college may still consider looking into the appropriateness of</w:t>
            </w:r>
            <w:r>
              <w:rPr>
                <w:rFonts w:ascii="Arial" w:hAnsi="Arial"/>
                <w:b/>
                <w:sz w:val="20"/>
              </w:rPr>
              <w:t xml:space="preserve"> the recommended safety nets </w:t>
            </w:r>
            <w:r w:rsidR="00667147">
              <w:rPr>
                <w:rFonts w:ascii="Arial" w:hAnsi="Arial"/>
                <w:b/>
                <w:sz w:val="20"/>
              </w:rPr>
              <w:t>cited</w:t>
            </w:r>
            <w:r>
              <w:rPr>
                <w:rFonts w:ascii="Arial" w:hAnsi="Arial"/>
                <w:b/>
                <w:sz w:val="20"/>
              </w:rPr>
              <w:t xml:space="preserve"> in the previous assessment worksheet as follows</w:t>
            </w:r>
            <w:r w:rsidR="00667147">
              <w:rPr>
                <w:rFonts w:ascii="Arial" w:hAnsi="Arial"/>
                <w:b/>
                <w:sz w:val="20"/>
              </w:rPr>
              <w:t>:</w:t>
            </w:r>
          </w:p>
          <w:p w:rsidR="00C544EA" w:rsidRPr="00122DC4" w:rsidRDefault="00C544EA">
            <w:pPr>
              <w:rPr>
                <w:rFonts w:ascii="Arial" w:hAnsi="Arial"/>
                <w:sz w:val="20"/>
              </w:rPr>
            </w:pPr>
          </w:p>
          <w:p w:rsidR="00C544EA" w:rsidRPr="00122DC4" w:rsidRDefault="00C544EA" w:rsidP="001621B5">
            <w:pPr>
              <w:numPr>
                <w:ilvl w:val="0"/>
                <w:numId w:val="6"/>
              </w:numPr>
              <w:jc w:val="both"/>
              <w:rPr>
                <w:rFonts w:ascii="Arial" w:hAnsi="Arial"/>
                <w:b/>
                <w:sz w:val="20"/>
              </w:rPr>
            </w:pPr>
            <w:r w:rsidRPr="00122DC4">
              <w:rPr>
                <w:rFonts w:ascii="Arial" w:hAnsi="Arial"/>
                <w:b/>
                <w:sz w:val="20"/>
              </w:rPr>
              <w:t xml:space="preserve">There is a need to adopt another policy, wherein which only students with a grade of C or better in all 100 and 200 level courses and have taken these courses only twice or less, shall be admitted in the TYC Accounting Program. To further support the implementation of this policy, the SIS also needs to have a foolproof built-in controls regarding this matter. </w:t>
            </w:r>
          </w:p>
          <w:p w:rsidR="00C544EA" w:rsidRPr="00122DC4" w:rsidRDefault="00C544EA" w:rsidP="001621B5">
            <w:pPr>
              <w:ind w:left="720"/>
              <w:jc w:val="both"/>
              <w:rPr>
                <w:rFonts w:ascii="Arial" w:hAnsi="Arial"/>
                <w:b/>
                <w:sz w:val="20"/>
              </w:rPr>
            </w:pPr>
          </w:p>
          <w:p w:rsidR="00C544EA" w:rsidRPr="00122DC4" w:rsidRDefault="00C544EA" w:rsidP="001621B5">
            <w:pPr>
              <w:numPr>
                <w:ilvl w:val="0"/>
                <w:numId w:val="6"/>
              </w:numPr>
              <w:jc w:val="both"/>
              <w:rPr>
                <w:rFonts w:ascii="Arial" w:hAnsi="Arial"/>
                <w:b/>
                <w:sz w:val="20"/>
              </w:rPr>
            </w:pPr>
            <w:r w:rsidRPr="00122DC4">
              <w:rPr>
                <w:rFonts w:ascii="Arial" w:hAnsi="Arial"/>
                <w:b/>
                <w:sz w:val="20"/>
              </w:rPr>
              <w:t xml:space="preserve">The college also needs to strengthen the analytical capabilities, and mathematical and comprehension skills of students before they can get admitted to programs, which require a lot of analysis, such as TYC Accounting. </w:t>
            </w:r>
          </w:p>
          <w:p w:rsidR="00C544EA" w:rsidRPr="00122DC4" w:rsidRDefault="00C544EA" w:rsidP="001621B5">
            <w:pPr>
              <w:jc w:val="both"/>
              <w:rPr>
                <w:rFonts w:ascii="Arial" w:hAnsi="Arial"/>
                <w:b/>
                <w:sz w:val="20"/>
              </w:rPr>
            </w:pPr>
          </w:p>
          <w:p w:rsidR="00C544EA" w:rsidRPr="00122DC4" w:rsidRDefault="00C544EA" w:rsidP="001621B5">
            <w:pPr>
              <w:numPr>
                <w:ilvl w:val="0"/>
                <w:numId w:val="6"/>
              </w:numPr>
              <w:jc w:val="both"/>
              <w:rPr>
                <w:rFonts w:ascii="Arial" w:hAnsi="Arial"/>
                <w:sz w:val="20"/>
              </w:rPr>
            </w:pPr>
            <w:r w:rsidRPr="00122DC4">
              <w:rPr>
                <w:rFonts w:ascii="Arial" w:hAnsi="Arial"/>
                <w:b/>
                <w:sz w:val="20"/>
              </w:rPr>
              <w:t xml:space="preserve"> Since this program leads to a bachelor’s degree, and the graduate of such a degree may need to take licensure examinations abroad to further his career, a need for better quality of students is IMPERATIVE. It is also important to note that FSM imports accountants, who have bachelor’s degree in accounting. In the future, if COM-FSM intends to convince local businesses to replace their ex-pat accountants and comptrollers with COM-FSM graduates (of the same degree. Yes, we are working on this), our graduates must be able to deliver the same quality of expertise in this field.</w:t>
            </w:r>
          </w:p>
          <w:p w:rsidR="00C544EA" w:rsidRPr="00122DC4" w:rsidRDefault="00C544EA" w:rsidP="00122DC4">
            <w:pPr>
              <w:rPr>
                <w:rFonts w:ascii="Arial" w:hAnsi="Arial"/>
                <w:sz w:val="20"/>
              </w:rPr>
            </w:pPr>
          </w:p>
        </w:tc>
      </w:tr>
    </w:tbl>
    <w:p w:rsidR="00C544EA" w:rsidRPr="00122DC4" w:rsidRDefault="00C544EA" w:rsidP="00C544EA">
      <w:pPr>
        <w:rPr>
          <w:rFonts w:ascii="Arial" w:hAnsi="Arial"/>
          <w:bCs/>
          <w:sz w:val="20"/>
        </w:rPr>
      </w:pPr>
    </w:p>
    <w:p w:rsidR="00C544EA" w:rsidRPr="00122DC4" w:rsidRDefault="00C544EA" w:rsidP="00C544EA">
      <w:pPr>
        <w:rPr>
          <w:rFonts w:ascii="Arial" w:hAnsi="Arial"/>
          <w:sz w:val="20"/>
        </w:rPr>
      </w:pPr>
      <w:r w:rsidRPr="00122DC4">
        <w:rPr>
          <w:rFonts w:ascii="Arial" w:hAnsi="Arial"/>
          <w:sz w:val="20"/>
        </w:rPr>
        <w:br w:type="textWrapping" w:clear="all"/>
      </w:r>
    </w:p>
    <w:p w:rsidR="00C544EA" w:rsidRPr="00122DC4" w:rsidRDefault="00C544EA" w:rsidP="00C544EA">
      <w:pPr>
        <w:rPr>
          <w:rFonts w:ascii="Arial" w:hAnsi="Arial"/>
          <w:sz w:val="20"/>
        </w:rPr>
      </w:pPr>
      <w:r w:rsidRPr="00122DC4">
        <w:rPr>
          <w:rFonts w:ascii="Arial" w:hAnsi="Arial"/>
          <w:sz w:val="20"/>
        </w:rPr>
        <w:t>Prepared by:</w:t>
      </w:r>
      <w:r w:rsidRPr="00122DC4">
        <w:rPr>
          <w:rFonts w:ascii="Arial" w:hAnsi="Arial"/>
          <w:sz w:val="20"/>
        </w:rPr>
        <w:tab/>
      </w:r>
      <w:r w:rsidRPr="00122DC4">
        <w:rPr>
          <w:rFonts w:ascii="Arial" w:hAnsi="Arial"/>
          <w:sz w:val="20"/>
        </w:rPr>
        <w:tab/>
      </w:r>
      <w:r w:rsidRPr="00122DC4">
        <w:rPr>
          <w:rFonts w:ascii="Arial" w:hAnsi="Arial"/>
          <w:sz w:val="20"/>
        </w:rPr>
        <w:tab/>
      </w:r>
      <w:r w:rsidRPr="00122DC4">
        <w:rPr>
          <w:rFonts w:ascii="Arial" w:hAnsi="Arial"/>
          <w:sz w:val="20"/>
        </w:rPr>
        <w:tab/>
      </w:r>
      <w:r w:rsidRPr="00122DC4">
        <w:rPr>
          <w:rFonts w:ascii="Arial" w:hAnsi="Arial"/>
          <w:sz w:val="20"/>
        </w:rPr>
        <w:tab/>
      </w:r>
      <w:r w:rsidRPr="00122DC4">
        <w:rPr>
          <w:rFonts w:ascii="Arial" w:hAnsi="Arial"/>
          <w:sz w:val="20"/>
        </w:rPr>
        <w:tab/>
      </w:r>
    </w:p>
    <w:p w:rsidR="00C544EA" w:rsidRPr="00122DC4" w:rsidRDefault="00C544EA" w:rsidP="00C544EA">
      <w:pPr>
        <w:rPr>
          <w:rFonts w:ascii="Arial" w:hAnsi="Arial"/>
          <w:sz w:val="20"/>
        </w:rPr>
      </w:pPr>
    </w:p>
    <w:p w:rsidR="00C544EA" w:rsidRPr="00122DC4" w:rsidRDefault="00C544EA" w:rsidP="00C544EA">
      <w:pPr>
        <w:rPr>
          <w:rFonts w:ascii="Arial" w:hAnsi="Arial"/>
          <w:sz w:val="20"/>
        </w:rPr>
      </w:pPr>
      <w:r w:rsidRPr="00122DC4">
        <w:rPr>
          <w:rFonts w:ascii="Arial" w:hAnsi="Arial"/>
          <w:b/>
          <w:sz w:val="20"/>
        </w:rPr>
        <w:t>Marian Gratia G. Medalla,</w:t>
      </w:r>
      <w:r w:rsidRPr="00122DC4">
        <w:rPr>
          <w:rFonts w:ascii="Arial" w:hAnsi="Arial"/>
          <w:sz w:val="20"/>
        </w:rPr>
        <w:t xml:space="preserve"> Associate Professor</w:t>
      </w:r>
      <w:r w:rsidRPr="00122DC4">
        <w:rPr>
          <w:rFonts w:ascii="Arial" w:hAnsi="Arial"/>
          <w:sz w:val="20"/>
        </w:rPr>
        <w:tab/>
      </w:r>
    </w:p>
    <w:p w:rsidR="00C544EA" w:rsidRPr="00122DC4" w:rsidRDefault="00C544EA" w:rsidP="00C544EA">
      <w:pPr>
        <w:rPr>
          <w:rFonts w:ascii="Arial" w:hAnsi="Arial"/>
          <w:sz w:val="20"/>
        </w:rPr>
      </w:pPr>
    </w:p>
    <w:p w:rsidR="00C544EA" w:rsidRPr="00122DC4" w:rsidRDefault="00C544EA" w:rsidP="00C544EA">
      <w:pPr>
        <w:rPr>
          <w:rFonts w:ascii="Arial" w:hAnsi="Arial"/>
          <w:sz w:val="20"/>
        </w:rPr>
      </w:pPr>
    </w:p>
    <w:p w:rsidR="00C544EA" w:rsidRPr="00122DC4" w:rsidRDefault="00C544EA" w:rsidP="00C544EA">
      <w:pPr>
        <w:rPr>
          <w:rFonts w:ascii="Arial" w:hAnsi="Arial"/>
          <w:sz w:val="20"/>
        </w:rPr>
      </w:pPr>
    </w:p>
    <w:p w:rsidR="00C544EA" w:rsidRPr="00122DC4" w:rsidRDefault="00C544EA" w:rsidP="00C544EA">
      <w:pPr>
        <w:rPr>
          <w:rFonts w:ascii="Arial" w:hAnsi="Arial"/>
          <w:sz w:val="20"/>
        </w:rPr>
      </w:pPr>
      <w:r w:rsidRPr="00122DC4">
        <w:rPr>
          <w:rFonts w:ascii="Arial" w:hAnsi="Arial"/>
          <w:sz w:val="20"/>
        </w:rPr>
        <w:t>Noted by:</w:t>
      </w:r>
    </w:p>
    <w:p w:rsidR="00C544EA" w:rsidRPr="00122DC4" w:rsidRDefault="00C544EA" w:rsidP="00C544EA">
      <w:pPr>
        <w:rPr>
          <w:rFonts w:ascii="Arial" w:hAnsi="Arial"/>
          <w:sz w:val="20"/>
        </w:rPr>
      </w:pPr>
    </w:p>
    <w:p w:rsidR="00C544EA" w:rsidRPr="00122DC4" w:rsidRDefault="00C544EA" w:rsidP="00C544EA">
      <w:pPr>
        <w:rPr>
          <w:rFonts w:ascii="Arial" w:hAnsi="Arial"/>
          <w:sz w:val="20"/>
        </w:rPr>
      </w:pPr>
      <w:r w:rsidRPr="00122DC4">
        <w:rPr>
          <w:rFonts w:ascii="Arial" w:hAnsi="Arial"/>
          <w:b/>
          <w:sz w:val="20"/>
        </w:rPr>
        <w:t>Joseph Felix, Jr.,</w:t>
      </w:r>
      <w:r w:rsidRPr="00122DC4">
        <w:rPr>
          <w:rFonts w:ascii="Arial" w:hAnsi="Arial"/>
          <w:sz w:val="20"/>
        </w:rPr>
        <w:t xml:space="preserve"> Division Chair</w:t>
      </w:r>
    </w:p>
    <w:p w:rsidR="00122DC4" w:rsidRPr="00122DC4" w:rsidRDefault="00122DC4">
      <w:pPr>
        <w:rPr>
          <w:rFonts w:ascii="Arial" w:hAnsi="Arial"/>
          <w:sz w:val="20"/>
        </w:rPr>
      </w:pPr>
    </w:p>
    <w:sectPr w:rsidR="00122DC4" w:rsidRPr="00122DC4" w:rsidSect="008D6B1E">
      <w:pgSz w:w="13598" w:h="17597"/>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5CF3"/>
    <w:multiLevelType w:val="hybridMultilevel"/>
    <w:tmpl w:val="48927A18"/>
    <w:lvl w:ilvl="0" w:tplc="BF302D1E">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994023"/>
    <w:multiLevelType w:val="multilevel"/>
    <w:tmpl w:val="4260D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FCE79C4"/>
    <w:multiLevelType w:val="hybridMultilevel"/>
    <w:tmpl w:val="57086360"/>
    <w:lvl w:ilvl="0" w:tplc="04090005">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795488"/>
    <w:multiLevelType w:val="hybridMultilevel"/>
    <w:tmpl w:val="426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87990"/>
    <w:multiLevelType w:val="multilevel"/>
    <w:tmpl w:val="48927A18"/>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B214BA4"/>
    <w:multiLevelType w:val="hybridMultilevel"/>
    <w:tmpl w:val="3C760CD2"/>
    <w:lvl w:ilvl="0" w:tplc="BF302D1E">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C544EA"/>
    <w:rsid w:val="00122DC4"/>
    <w:rsid w:val="0012447D"/>
    <w:rsid w:val="001621B5"/>
    <w:rsid w:val="001E166C"/>
    <w:rsid w:val="00236814"/>
    <w:rsid w:val="00285595"/>
    <w:rsid w:val="002F16E7"/>
    <w:rsid w:val="0061242D"/>
    <w:rsid w:val="00667147"/>
    <w:rsid w:val="008D6B1E"/>
    <w:rsid w:val="00BE177F"/>
    <w:rsid w:val="00C544E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EA"/>
    <w:rPr>
      <w:rFonts w:ascii="Times New Roman" w:eastAsia="Times New Roman" w:hAnsi="Times New Roman" w:cs="Times New Roman"/>
    </w:rPr>
  </w:style>
  <w:style w:type="paragraph" w:styleId="Heading2">
    <w:name w:val="heading 2"/>
    <w:basedOn w:val="Normal"/>
    <w:next w:val="Normal"/>
    <w:link w:val="Heading2Char"/>
    <w:qFormat/>
    <w:rsid w:val="00C544EA"/>
    <w:pPr>
      <w:keepNext/>
      <w:spacing w:before="240" w:after="60"/>
      <w:outlineLvl w:val="1"/>
    </w:pPr>
    <w:rPr>
      <w:rFonts w:ascii="Arial" w:hAnsi="Arial"/>
      <w:b/>
      <w:i/>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C544EA"/>
    <w:rPr>
      <w:rFonts w:ascii="Arial" w:eastAsia="Times New Roman" w:hAnsi="Arial" w:cs="Times New Roman"/>
      <w:b/>
      <w:i/>
      <w:sz w:val="28"/>
      <w:szCs w:val="20"/>
    </w:rPr>
  </w:style>
  <w:style w:type="table" w:styleId="TableGrid">
    <w:name w:val="Table Grid"/>
    <w:basedOn w:val="TableNormal"/>
    <w:rsid w:val="00C544E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44EA"/>
    <w:rPr>
      <w:color w:val="0000FF"/>
      <w:u w:val="single"/>
    </w:rPr>
  </w:style>
  <w:style w:type="paragraph" w:styleId="Footer">
    <w:name w:val="footer"/>
    <w:basedOn w:val="Normal"/>
    <w:link w:val="FooterChar"/>
    <w:rsid w:val="00C544EA"/>
    <w:pPr>
      <w:tabs>
        <w:tab w:val="center" w:pos="4320"/>
        <w:tab w:val="right" w:pos="8640"/>
      </w:tabs>
    </w:pPr>
  </w:style>
  <w:style w:type="character" w:customStyle="1" w:styleId="FooterChar">
    <w:name w:val="Footer Char"/>
    <w:basedOn w:val="DefaultParagraphFont"/>
    <w:link w:val="Footer"/>
    <w:rsid w:val="00C544EA"/>
    <w:rPr>
      <w:rFonts w:ascii="Times New Roman" w:eastAsia="Times New Roman" w:hAnsi="Times New Roman" w:cs="Times New Roman"/>
    </w:rPr>
  </w:style>
  <w:style w:type="character" w:styleId="PageNumber">
    <w:name w:val="page number"/>
    <w:basedOn w:val="DefaultParagraphFont"/>
    <w:rsid w:val="00C544EA"/>
  </w:style>
  <w:style w:type="paragraph" w:styleId="Header">
    <w:name w:val="header"/>
    <w:basedOn w:val="Normal"/>
    <w:link w:val="HeaderChar"/>
    <w:rsid w:val="00C544EA"/>
    <w:pPr>
      <w:tabs>
        <w:tab w:val="center" w:pos="4320"/>
        <w:tab w:val="right" w:pos="8640"/>
      </w:tabs>
    </w:pPr>
  </w:style>
  <w:style w:type="character" w:customStyle="1" w:styleId="HeaderChar">
    <w:name w:val="Header Char"/>
    <w:basedOn w:val="DefaultParagraphFont"/>
    <w:link w:val="Header"/>
    <w:rsid w:val="00C544EA"/>
    <w:rPr>
      <w:rFonts w:ascii="Times New Roman" w:eastAsia="Times New Roman" w:hAnsi="Times New Roman" w:cs="Times New Roman"/>
    </w:rPr>
  </w:style>
  <w:style w:type="character" w:styleId="FollowedHyperlink">
    <w:name w:val="FollowedHyperlink"/>
    <w:basedOn w:val="DefaultParagraphFont"/>
    <w:uiPriority w:val="99"/>
    <w:rsid w:val="00C544EA"/>
    <w:rPr>
      <w:color w:val="800080"/>
      <w:u w:val="single"/>
    </w:rPr>
  </w:style>
  <w:style w:type="paragraph" w:styleId="ListParagraph">
    <w:name w:val="List Paragraph"/>
    <w:basedOn w:val="Normal"/>
    <w:rsid w:val="00C544EA"/>
    <w:pPr>
      <w:ind w:left="720"/>
      <w:contextualSpacing/>
    </w:pPr>
  </w:style>
  <w:style w:type="paragraph" w:styleId="BodyTextIndent3">
    <w:name w:val="Body Text Indent 3"/>
    <w:basedOn w:val="Normal"/>
    <w:link w:val="BodyTextIndent3Char"/>
    <w:rsid w:val="00C5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pPr>
    <w:rPr>
      <w:rFonts w:ascii="Verdana" w:hAnsi="Verdana"/>
      <w:color w:val="000000"/>
      <w:szCs w:val="20"/>
    </w:rPr>
  </w:style>
  <w:style w:type="character" w:customStyle="1" w:styleId="BodyTextIndent3Char">
    <w:name w:val="Body Text Indent 3 Char"/>
    <w:basedOn w:val="DefaultParagraphFont"/>
    <w:link w:val="BodyTextIndent3"/>
    <w:rsid w:val="00C544EA"/>
    <w:rPr>
      <w:rFonts w:ascii="Verdana" w:eastAsia="Times New Roman" w:hAnsi="Verdana" w:cs="Times New Roman"/>
      <w:color w:val="000000"/>
      <w:szCs w:val="20"/>
    </w:rPr>
  </w:style>
  <w:style w:type="paragraph" w:styleId="BodyText">
    <w:name w:val="Body Text"/>
    <w:basedOn w:val="Normal"/>
    <w:link w:val="BodyTextChar"/>
    <w:rsid w:val="00C544EA"/>
    <w:pPr>
      <w:spacing w:after="120"/>
    </w:pPr>
    <w:rPr>
      <w:rFonts w:ascii="Times" w:eastAsia="Times" w:hAnsi="Times"/>
      <w:szCs w:val="20"/>
    </w:rPr>
  </w:style>
  <w:style w:type="character" w:customStyle="1" w:styleId="BodyTextChar">
    <w:name w:val="Body Text Char"/>
    <w:basedOn w:val="DefaultParagraphFont"/>
    <w:link w:val="BodyText"/>
    <w:rsid w:val="00C544EA"/>
    <w:rPr>
      <w:rFonts w:ascii="Times" w:eastAsia="Times" w:hAnsi="Times" w:cs="Times New Roman"/>
      <w:szCs w:val="20"/>
    </w:rPr>
  </w:style>
  <w:style w:type="character" w:styleId="CommentReference">
    <w:name w:val="annotation reference"/>
    <w:basedOn w:val="DefaultParagraphFont"/>
    <w:uiPriority w:val="99"/>
    <w:semiHidden/>
    <w:unhideWhenUsed/>
    <w:rsid w:val="00236814"/>
    <w:rPr>
      <w:sz w:val="18"/>
      <w:szCs w:val="18"/>
    </w:rPr>
  </w:style>
  <w:style w:type="paragraph" w:styleId="CommentText">
    <w:name w:val="annotation text"/>
    <w:basedOn w:val="Normal"/>
    <w:link w:val="CommentTextChar"/>
    <w:uiPriority w:val="99"/>
    <w:semiHidden/>
    <w:unhideWhenUsed/>
    <w:rsid w:val="00236814"/>
  </w:style>
  <w:style w:type="character" w:customStyle="1" w:styleId="CommentTextChar">
    <w:name w:val="Comment Text Char"/>
    <w:basedOn w:val="DefaultParagraphFont"/>
    <w:link w:val="CommentText"/>
    <w:uiPriority w:val="99"/>
    <w:semiHidden/>
    <w:rsid w:val="0023681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36814"/>
    <w:rPr>
      <w:b/>
      <w:bCs/>
      <w:sz w:val="20"/>
      <w:szCs w:val="20"/>
    </w:rPr>
  </w:style>
  <w:style w:type="character" w:customStyle="1" w:styleId="CommentSubjectChar">
    <w:name w:val="Comment Subject Char"/>
    <w:basedOn w:val="CommentTextChar"/>
    <w:link w:val="CommentSubject"/>
    <w:uiPriority w:val="99"/>
    <w:semiHidden/>
    <w:rsid w:val="002368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6814"/>
    <w:rPr>
      <w:rFonts w:ascii="Lucida Grande" w:hAnsi="Lucida Grande"/>
      <w:sz w:val="18"/>
      <w:szCs w:val="18"/>
    </w:rPr>
  </w:style>
  <w:style w:type="character" w:customStyle="1" w:styleId="BalloonTextChar">
    <w:name w:val="Balloon Text Char"/>
    <w:basedOn w:val="DefaultParagraphFont"/>
    <w:link w:val="BalloonText"/>
    <w:uiPriority w:val="99"/>
    <w:semiHidden/>
    <w:rsid w:val="0023681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EA"/>
    <w:rPr>
      <w:rFonts w:ascii="Times New Roman" w:eastAsia="Times New Roman" w:hAnsi="Times New Roman" w:cs="Times New Roman"/>
    </w:rPr>
  </w:style>
  <w:style w:type="paragraph" w:styleId="Heading2">
    <w:name w:val="heading 2"/>
    <w:basedOn w:val="Normal"/>
    <w:next w:val="Normal"/>
    <w:link w:val="Heading2Char"/>
    <w:qFormat/>
    <w:rsid w:val="00C544EA"/>
    <w:pPr>
      <w:keepNext/>
      <w:spacing w:before="240" w:after="60"/>
      <w:outlineLvl w:val="1"/>
    </w:pPr>
    <w:rPr>
      <w:rFonts w:ascii="Arial" w:hAnsi="Arial"/>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44EA"/>
    <w:rPr>
      <w:rFonts w:ascii="Arial" w:eastAsia="Times New Roman" w:hAnsi="Arial" w:cs="Times New Roman"/>
      <w:b/>
      <w:i/>
      <w:sz w:val="28"/>
      <w:szCs w:val="20"/>
    </w:rPr>
  </w:style>
  <w:style w:type="table" w:styleId="TableGrid">
    <w:name w:val="Table Grid"/>
    <w:basedOn w:val="TableNormal"/>
    <w:rsid w:val="00C544E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44EA"/>
    <w:rPr>
      <w:color w:val="0000FF"/>
      <w:u w:val="single"/>
    </w:rPr>
  </w:style>
  <w:style w:type="paragraph" w:styleId="Footer">
    <w:name w:val="footer"/>
    <w:basedOn w:val="Normal"/>
    <w:link w:val="FooterChar"/>
    <w:rsid w:val="00C544EA"/>
    <w:pPr>
      <w:tabs>
        <w:tab w:val="center" w:pos="4320"/>
        <w:tab w:val="right" w:pos="8640"/>
      </w:tabs>
    </w:pPr>
  </w:style>
  <w:style w:type="character" w:customStyle="1" w:styleId="FooterChar">
    <w:name w:val="Footer Char"/>
    <w:basedOn w:val="DefaultParagraphFont"/>
    <w:link w:val="Footer"/>
    <w:rsid w:val="00C544EA"/>
    <w:rPr>
      <w:rFonts w:ascii="Times New Roman" w:eastAsia="Times New Roman" w:hAnsi="Times New Roman" w:cs="Times New Roman"/>
    </w:rPr>
  </w:style>
  <w:style w:type="character" w:styleId="PageNumber">
    <w:name w:val="page number"/>
    <w:basedOn w:val="DefaultParagraphFont"/>
    <w:rsid w:val="00C544EA"/>
  </w:style>
  <w:style w:type="paragraph" w:styleId="Header">
    <w:name w:val="header"/>
    <w:basedOn w:val="Normal"/>
    <w:link w:val="HeaderChar"/>
    <w:rsid w:val="00C544EA"/>
    <w:pPr>
      <w:tabs>
        <w:tab w:val="center" w:pos="4320"/>
        <w:tab w:val="right" w:pos="8640"/>
      </w:tabs>
    </w:pPr>
  </w:style>
  <w:style w:type="character" w:customStyle="1" w:styleId="HeaderChar">
    <w:name w:val="Header Char"/>
    <w:basedOn w:val="DefaultParagraphFont"/>
    <w:link w:val="Header"/>
    <w:rsid w:val="00C544EA"/>
    <w:rPr>
      <w:rFonts w:ascii="Times New Roman" w:eastAsia="Times New Roman" w:hAnsi="Times New Roman" w:cs="Times New Roman"/>
    </w:rPr>
  </w:style>
  <w:style w:type="character" w:styleId="FollowedHyperlink">
    <w:name w:val="FollowedHyperlink"/>
    <w:basedOn w:val="DefaultParagraphFont"/>
    <w:uiPriority w:val="99"/>
    <w:rsid w:val="00C544EA"/>
    <w:rPr>
      <w:color w:val="800080"/>
      <w:u w:val="single"/>
    </w:rPr>
  </w:style>
  <w:style w:type="paragraph" w:styleId="ListParagraph">
    <w:name w:val="List Paragraph"/>
    <w:basedOn w:val="Normal"/>
    <w:rsid w:val="00C544EA"/>
    <w:pPr>
      <w:ind w:left="720"/>
      <w:contextualSpacing/>
    </w:pPr>
  </w:style>
  <w:style w:type="paragraph" w:styleId="BodyTextIndent3">
    <w:name w:val="Body Text Indent 3"/>
    <w:basedOn w:val="Normal"/>
    <w:link w:val="BodyTextIndent3Char"/>
    <w:rsid w:val="00C5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pPr>
    <w:rPr>
      <w:rFonts w:ascii="Verdana" w:hAnsi="Verdana"/>
      <w:color w:val="000000"/>
      <w:szCs w:val="20"/>
    </w:rPr>
  </w:style>
  <w:style w:type="character" w:customStyle="1" w:styleId="BodyTextIndent3Char">
    <w:name w:val="Body Text Indent 3 Char"/>
    <w:basedOn w:val="DefaultParagraphFont"/>
    <w:link w:val="BodyTextIndent3"/>
    <w:rsid w:val="00C544EA"/>
    <w:rPr>
      <w:rFonts w:ascii="Verdana" w:eastAsia="Times New Roman" w:hAnsi="Verdana" w:cs="Times New Roman"/>
      <w:color w:val="000000"/>
      <w:szCs w:val="20"/>
    </w:rPr>
  </w:style>
  <w:style w:type="paragraph" w:styleId="BodyText">
    <w:name w:val="Body Text"/>
    <w:basedOn w:val="Normal"/>
    <w:link w:val="BodyTextChar"/>
    <w:rsid w:val="00C544EA"/>
    <w:pPr>
      <w:spacing w:after="120"/>
    </w:pPr>
    <w:rPr>
      <w:rFonts w:ascii="Times" w:eastAsia="Times" w:hAnsi="Times"/>
      <w:szCs w:val="20"/>
    </w:rPr>
  </w:style>
  <w:style w:type="character" w:customStyle="1" w:styleId="BodyTextChar">
    <w:name w:val="Body Text Char"/>
    <w:basedOn w:val="DefaultParagraphFont"/>
    <w:link w:val="BodyText"/>
    <w:rsid w:val="00C544EA"/>
    <w:rPr>
      <w:rFonts w:ascii="Times" w:eastAsia="Times" w:hAnsi="Times" w:cs="Times New Roman"/>
      <w:szCs w:val="20"/>
    </w:rPr>
  </w:style>
  <w:style w:type="character" w:styleId="CommentReference">
    <w:name w:val="annotation reference"/>
    <w:basedOn w:val="DefaultParagraphFont"/>
    <w:uiPriority w:val="99"/>
    <w:semiHidden/>
    <w:unhideWhenUsed/>
    <w:rsid w:val="00236814"/>
    <w:rPr>
      <w:sz w:val="18"/>
      <w:szCs w:val="18"/>
    </w:rPr>
  </w:style>
  <w:style w:type="paragraph" w:styleId="CommentText">
    <w:name w:val="annotation text"/>
    <w:basedOn w:val="Normal"/>
    <w:link w:val="CommentTextChar"/>
    <w:uiPriority w:val="99"/>
    <w:semiHidden/>
    <w:unhideWhenUsed/>
    <w:rsid w:val="00236814"/>
  </w:style>
  <w:style w:type="character" w:customStyle="1" w:styleId="CommentTextChar">
    <w:name w:val="Comment Text Char"/>
    <w:basedOn w:val="DefaultParagraphFont"/>
    <w:link w:val="CommentText"/>
    <w:uiPriority w:val="99"/>
    <w:semiHidden/>
    <w:rsid w:val="0023681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36814"/>
    <w:rPr>
      <w:b/>
      <w:bCs/>
      <w:sz w:val="20"/>
      <w:szCs w:val="20"/>
    </w:rPr>
  </w:style>
  <w:style w:type="character" w:customStyle="1" w:styleId="CommentSubjectChar">
    <w:name w:val="Comment Subject Char"/>
    <w:basedOn w:val="CommentTextChar"/>
    <w:link w:val="CommentSubject"/>
    <w:uiPriority w:val="99"/>
    <w:semiHidden/>
    <w:rsid w:val="002368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6814"/>
    <w:rPr>
      <w:rFonts w:ascii="Lucida Grande" w:hAnsi="Lucida Grande"/>
      <w:sz w:val="18"/>
      <w:szCs w:val="18"/>
    </w:rPr>
  </w:style>
  <w:style w:type="character" w:customStyle="1" w:styleId="BalloonTextChar">
    <w:name w:val="Balloon Text Char"/>
    <w:basedOn w:val="DefaultParagraphFont"/>
    <w:link w:val="BalloonText"/>
    <w:uiPriority w:val="99"/>
    <w:semiHidden/>
    <w:rsid w:val="00236814"/>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D6BC-F89C-4D4D-8862-08C2742B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Macintosh Word</Application>
  <DocSecurity>0</DocSecurity>
  <Lines>24</Lines>
  <Paragraphs>5</Paragraphs>
  <ScaleCrop>false</ScaleCrop>
  <Company>COM-FSM</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Gratia Medalla</dc:creator>
  <cp:keywords/>
  <cp:lastModifiedBy>Marian Gratia Medalla</cp:lastModifiedBy>
  <cp:revision>2</cp:revision>
  <cp:lastPrinted>2012-05-09T09:11:00Z</cp:lastPrinted>
  <dcterms:created xsi:type="dcterms:W3CDTF">2012-11-14T03:16:00Z</dcterms:created>
  <dcterms:modified xsi:type="dcterms:W3CDTF">2012-11-14T03:16:00Z</dcterms:modified>
</cp:coreProperties>
</file>