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8418A" w:rsidRPr="00C8418A" w:rsidRDefault="00C8418A" w:rsidP="00C8418A">
      <w:pPr>
        <w:spacing w:before="100" w:beforeAutospacing="1"/>
        <w:jc w:val="center"/>
        <w:rPr>
          <w:rFonts w:ascii="Garamond" w:hAnsi="Garamond" w:cs="Times New Roman"/>
          <w:color w:val="000000"/>
        </w:rPr>
      </w:pPr>
      <w:r w:rsidRPr="00C8418A">
        <w:rPr>
          <w:rFonts w:ascii="Garamond" w:hAnsi="Garamond" w:cs="Times New Roman"/>
          <w:b/>
          <w:bCs/>
          <w:color w:val="1F497D"/>
        </w:rPr>
        <w:t>The College of Micronesia-FSM</w:t>
      </w:r>
    </w:p>
    <w:p w:rsidR="00C8418A" w:rsidRPr="00C8418A" w:rsidRDefault="00C8418A" w:rsidP="00C8418A">
      <w:pPr>
        <w:spacing w:before="100" w:beforeAutospacing="1"/>
        <w:jc w:val="center"/>
        <w:rPr>
          <w:rFonts w:ascii="Garamond" w:hAnsi="Garamond" w:cs="Times New Roman"/>
          <w:color w:val="000000"/>
        </w:rPr>
      </w:pPr>
      <w:r w:rsidRPr="00C8418A">
        <w:rPr>
          <w:rFonts w:ascii="Garamond" w:hAnsi="Garamond" w:cs="Times New Roman"/>
          <w:b/>
          <w:bCs/>
          <w:color w:val="1F497D"/>
        </w:rPr>
        <w:t>Strategic Plan 2013-2017</w:t>
      </w:r>
    </w:p>
    <w:p w:rsidR="00C8418A" w:rsidRPr="00C8418A" w:rsidRDefault="00E616E9" w:rsidP="00C8418A">
      <w:pPr>
        <w:spacing w:before="100" w:beforeAutospacing="1"/>
        <w:jc w:val="center"/>
        <w:rPr>
          <w:rFonts w:ascii="Garamond" w:hAnsi="Garamond" w:cs="Times New Roman"/>
          <w:color w:val="000000"/>
        </w:rPr>
      </w:pPr>
      <w:r>
        <w:rPr>
          <w:rFonts w:ascii="Garamond" w:hAnsi="Garamond" w:cs="Times New Roman"/>
          <w:b/>
          <w:bCs/>
          <w:color w:val="1F497D"/>
        </w:rPr>
        <w:t>April 19</w:t>
      </w:r>
      <w:r w:rsidR="00C8418A" w:rsidRPr="00C8418A">
        <w:rPr>
          <w:rFonts w:ascii="Garamond" w:hAnsi="Garamond" w:cs="Times New Roman"/>
          <w:b/>
          <w:bCs/>
          <w:color w:val="1F497D"/>
        </w:rPr>
        <w:t>, 2013</w:t>
      </w:r>
    </w:p>
    <w:p w:rsidR="00C8418A" w:rsidRPr="00C8418A" w:rsidRDefault="00C8418A" w:rsidP="00C8418A">
      <w:pPr>
        <w:spacing w:before="100" w:beforeAutospacing="1"/>
        <w:rPr>
          <w:rFonts w:ascii="Garamond" w:hAnsi="Garamond" w:cs="Times New Roman"/>
          <w:color w:val="000000"/>
        </w:rPr>
      </w:pPr>
      <w:r w:rsidRPr="00C8418A">
        <w:rPr>
          <w:rFonts w:ascii="Garamond" w:hAnsi="Garamond" w:cs="Times New Roman"/>
          <w:b/>
          <w:bCs/>
          <w:color w:val="1F497D"/>
        </w:rPr>
        <w:t>Vision</w:t>
      </w:r>
    </w:p>
    <w:p w:rsidR="00C8418A" w:rsidRPr="00C8418A" w:rsidRDefault="00C8418A" w:rsidP="00C8418A">
      <w:pPr>
        <w:spacing w:before="100" w:beforeAutospacing="1"/>
        <w:rPr>
          <w:rFonts w:ascii="Garamond" w:hAnsi="Garamond" w:cs="Times New Roman"/>
          <w:color w:val="000000"/>
        </w:rPr>
      </w:pPr>
      <w:r w:rsidRPr="00C8418A">
        <w:rPr>
          <w:rFonts w:ascii="Garamond" w:hAnsi="Garamond" w:cs="Times New Roman"/>
          <w:b/>
          <w:bCs/>
          <w:i/>
          <w:iCs/>
          <w:color w:val="000000"/>
        </w:rPr>
        <w:t xml:space="preserve">Existing: </w:t>
      </w:r>
      <w:r w:rsidRPr="00C8418A">
        <w:rPr>
          <w:rFonts w:ascii="Garamond" w:hAnsi="Garamond" w:cs="Times New Roman"/>
          <w:i/>
          <w:iCs/>
          <w:color w:val="000000"/>
        </w:rPr>
        <w:t>The College of Micronesia-FSM will assist the citizens of the Federated States of Micronesia to be well-educated, prosperous, globally connected, accountable, healthy and able to live in harmony with the environment and the world community</w:t>
      </w:r>
      <w:r w:rsidRPr="00C8418A">
        <w:rPr>
          <w:rFonts w:ascii="Garamond" w:hAnsi="Garamond" w:cs="Times New Roman"/>
          <w:color w:val="000000"/>
        </w:rPr>
        <w:t>.</w:t>
      </w:r>
    </w:p>
    <w:p w:rsidR="00C8418A" w:rsidRPr="00863761" w:rsidRDefault="00C8418A" w:rsidP="00C8418A">
      <w:pPr>
        <w:spacing w:before="100" w:beforeAutospacing="1"/>
        <w:rPr>
          <w:rFonts w:ascii="Garamond" w:hAnsi="Garamond" w:cs="Times New Roman"/>
          <w:color w:val="000000"/>
        </w:rPr>
      </w:pPr>
      <w:r w:rsidRPr="00C8418A">
        <w:rPr>
          <w:rFonts w:ascii="Garamond" w:hAnsi="Garamond" w:cs="Times New Roman"/>
          <w:b/>
          <w:bCs/>
          <w:color w:val="1F497D"/>
        </w:rPr>
        <w:t>Vision</w:t>
      </w:r>
      <w:r w:rsidR="00863761">
        <w:rPr>
          <w:rFonts w:ascii="Garamond" w:hAnsi="Garamond" w:cs="Times New Roman"/>
          <w:bCs/>
          <w:color w:val="1F497D"/>
        </w:rPr>
        <w:t>(proposed options)</w:t>
      </w:r>
    </w:p>
    <w:p w:rsidR="00483354" w:rsidRPr="005C27EB" w:rsidRDefault="00483354" w:rsidP="00483354">
      <w:pPr>
        <w:spacing w:before="100" w:beforeAutospacing="1"/>
        <w:rPr>
          <w:rFonts w:ascii="Garamond" w:hAnsi="Garamond" w:cs="Times New Roman"/>
          <w:bCs/>
          <w:iCs/>
          <w:color w:val="000000"/>
        </w:rPr>
      </w:pPr>
      <w:r w:rsidRPr="005C27EB">
        <w:rPr>
          <w:rFonts w:ascii="Garamond" w:hAnsi="Garamond" w:cs="Times New Roman"/>
          <w:bCs/>
          <w:iCs/>
          <w:color w:val="000000"/>
        </w:rPr>
        <w:t xml:space="preserve">College of Micronesia-FSM Aspires: Our goal over the next five years is to transform COM-FSM into a </w:t>
      </w:r>
      <w:r w:rsidR="004F76FA" w:rsidRPr="005C27EB">
        <w:rPr>
          <w:rFonts w:ascii="Garamond" w:hAnsi="Garamond" w:cs="Times New Roman"/>
          <w:bCs/>
          <w:iCs/>
          <w:color w:val="000000"/>
        </w:rPr>
        <w:t xml:space="preserve">learning organization that is </w:t>
      </w:r>
      <w:r w:rsidR="00543E74" w:rsidRPr="005C27EB">
        <w:rPr>
          <w:rFonts w:ascii="Garamond" w:hAnsi="Garamond" w:cs="Times New Roman"/>
          <w:bCs/>
          <w:iCs/>
          <w:color w:val="000000"/>
        </w:rPr>
        <w:t xml:space="preserve">a </w:t>
      </w:r>
      <w:r w:rsidRPr="005C27EB">
        <w:rPr>
          <w:rFonts w:ascii="Garamond" w:hAnsi="Garamond" w:cs="Times New Roman"/>
          <w:bCs/>
          <w:iCs/>
          <w:color w:val="000000"/>
        </w:rPr>
        <w:t xml:space="preserve">financially sound, premier community college recognized for exceptional student experience, exceptional employees, and our </w:t>
      </w:r>
      <w:r w:rsidR="00AF18A3" w:rsidRPr="005C27EB">
        <w:rPr>
          <w:rFonts w:ascii="Garamond" w:hAnsi="Garamond" w:cs="Times New Roman"/>
          <w:bCs/>
          <w:iCs/>
          <w:color w:val="000000"/>
        </w:rPr>
        <w:t>contributions to national success.</w:t>
      </w:r>
      <w:r w:rsidR="008D7EE5">
        <w:rPr>
          <w:rFonts w:ascii="Garamond" w:hAnsi="Garamond" w:cs="Times New Roman"/>
          <w:bCs/>
          <w:iCs/>
          <w:color w:val="000000"/>
        </w:rPr>
        <w:t xml:space="preserve"> (</w:t>
      </w:r>
      <w:r w:rsidR="008D7EE5" w:rsidRPr="008D7EE5">
        <w:rPr>
          <w:rFonts w:ascii="Garamond" w:hAnsi="Garamond" w:cs="Times New Roman"/>
          <w:bCs/>
          <w:iCs/>
          <w:color w:val="4F81BD" w:themeColor="accent1"/>
        </w:rPr>
        <w:t>Second Highest Ranked</w:t>
      </w:r>
      <w:r w:rsidR="008D7EE5">
        <w:rPr>
          <w:rFonts w:ascii="Garamond" w:hAnsi="Garamond" w:cs="Times New Roman"/>
          <w:bCs/>
          <w:iCs/>
          <w:color w:val="000000"/>
        </w:rPr>
        <w:t>)</w:t>
      </w:r>
    </w:p>
    <w:p w:rsidR="00C44A45" w:rsidRPr="005C27EB" w:rsidRDefault="00C44A45" w:rsidP="00C44A45">
      <w:pPr>
        <w:spacing w:before="100" w:beforeAutospacing="1"/>
        <w:rPr>
          <w:rFonts w:ascii="Garamond" w:hAnsi="Garamond" w:cs="Times New Roman"/>
          <w:bCs/>
          <w:iCs/>
          <w:color w:val="000000"/>
        </w:rPr>
      </w:pPr>
      <w:r w:rsidRPr="005C27EB">
        <w:rPr>
          <w:rFonts w:ascii="Garamond" w:hAnsi="Garamond" w:cs="Times New Roman"/>
          <w:bCs/>
          <w:iCs/>
          <w:color w:val="000000"/>
        </w:rPr>
        <w:t>College of Micronesia-FSM will provide educational opportunities of the highest quality and will embrace the life-long pursuit of knowledge and the enrichment of the diverse Micronesian communities we serve.</w:t>
      </w:r>
      <w:r w:rsidR="008D7EE5">
        <w:rPr>
          <w:rFonts w:ascii="Garamond" w:hAnsi="Garamond" w:cs="Times New Roman"/>
          <w:bCs/>
          <w:iCs/>
          <w:color w:val="000000"/>
        </w:rPr>
        <w:t xml:space="preserve"> (</w:t>
      </w:r>
      <w:r w:rsidR="008D7EE5" w:rsidRPr="008D7EE5">
        <w:rPr>
          <w:rFonts w:ascii="Garamond" w:hAnsi="Garamond" w:cs="Times New Roman"/>
          <w:bCs/>
          <w:iCs/>
          <w:color w:val="4F81BD" w:themeColor="accent1"/>
        </w:rPr>
        <w:t>Highest Ranked</w:t>
      </w:r>
      <w:r w:rsidR="008D7EE5">
        <w:rPr>
          <w:rFonts w:ascii="Garamond" w:hAnsi="Garamond" w:cs="Times New Roman"/>
          <w:bCs/>
          <w:iCs/>
          <w:color w:val="000000"/>
        </w:rPr>
        <w:t>)</w:t>
      </w:r>
    </w:p>
    <w:p w:rsidR="008D7EE5" w:rsidRPr="008D7EE5" w:rsidRDefault="00097C87" w:rsidP="00483354">
      <w:pPr>
        <w:spacing w:before="100" w:beforeAutospacing="1"/>
        <w:rPr>
          <w:rFonts w:ascii="Garamond" w:hAnsi="Garamond" w:cs="Times New Roman"/>
          <w:bCs/>
          <w:iCs/>
          <w:strike/>
          <w:color w:val="000000"/>
        </w:rPr>
      </w:pPr>
      <w:r w:rsidRPr="008D7EE5">
        <w:rPr>
          <w:rFonts w:ascii="Garamond" w:hAnsi="Garamond" w:cs="Times New Roman"/>
          <w:bCs/>
          <w:iCs/>
          <w:strike/>
          <w:color w:val="000000"/>
        </w:rPr>
        <w:t>College of Micronesia-FSM will be a best practices higher learning community committed to the development of an educated citizenry.</w:t>
      </w:r>
    </w:p>
    <w:p w:rsidR="008D7EE5" w:rsidRDefault="008D7EE5" w:rsidP="00483354">
      <w:pPr>
        <w:spacing w:before="100" w:beforeAutospacing="1"/>
        <w:rPr>
          <w:rFonts w:ascii="Garamond" w:hAnsi="Garamond" w:cs="Times New Roman"/>
          <w:bCs/>
          <w:iCs/>
          <w:color w:val="000000"/>
        </w:rPr>
      </w:pPr>
      <w:r>
        <w:rPr>
          <w:rFonts w:ascii="Garamond" w:hAnsi="Garamond" w:cs="Times New Roman"/>
          <w:bCs/>
          <w:iCs/>
          <w:noProof/>
          <w:color w:val="000000"/>
        </w:rPr>
        <w:drawing>
          <wp:inline distT="0" distB="0" distL="0" distR="0">
            <wp:extent cx="4229087" cy="223593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229097" cy="2235944"/>
                    </a:xfrm>
                    <a:prstGeom prst="rect">
                      <a:avLst/>
                    </a:prstGeom>
                    <a:noFill/>
                    <a:ln>
                      <a:noFill/>
                    </a:ln>
                  </pic:spPr>
                </pic:pic>
              </a:graphicData>
            </a:graphic>
          </wp:inline>
        </w:drawing>
      </w:r>
    </w:p>
    <w:tbl>
      <w:tblPr>
        <w:tblStyle w:val="TableGrid"/>
        <w:tblW w:w="0" w:type="auto"/>
        <w:tblLook w:val="04A0"/>
      </w:tblPr>
      <w:tblGrid>
        <w:gridCol w:w="1589"/>
        <w:gridCol w:w="1436"/>
        <w:gridCol w:w="1435"/>
        <w:gridCol w:w="1435"/>
        <w:gridCol w:w="1443"/>
        <w:gridCol w:w="1518"/>
      </w:tblGrid>
      <w:tr w:rsidR="008D7EE5">
        <w:tc>
          <w:tcPr>
            <w:tcW w:w="1589"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Answer Options</w:t>
            </w:r>
          </w:p>
        </w:tc>
        <w:tc>
          <w:tcPr>
            <w:tcW w:w="1436"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1</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2</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3</w:t>
            </w:r>
          </w:p>
        </w:tc>
        <w:tc>
          <w:tcPr>
            <w:tcW w:w="1443"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Rating Mean</w:t>
            </w:r>
          </w:p>
        </w:tc>
        <w:tc>
          <w:tcPr>
            <w:tcW w:w="1518" w:type="dxa"/>
          </w:tcPr>
          <w:p w:rsidR="008D7EE5" w:rsidRPr="008D7EE5" w:rsidRDefault="00133EF9"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Response Count</w:t>
            </w:r>
          </w:p>
        </w:tc>
      </w:tr>
      <w:tr w:rsidR="008D7EE5">
        <w:tc>
          <w:tcPr>
            <w:tcW w:w="1589"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Option A</w:t>
            </w:r>
          </w:p>
        </w:tc>
        <w:tc>
          <w:tcPr>
            <w:tcW w:w="1436"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82</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71</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51</w:t>
            </w:r>
          </w:p>
        </w:tc>
        <w:tc>
          <w:tcPr>
            <w:tcW w:w="1443"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highlight w:val="yellow"/>
              </w:rPr>
              <w:t>1.85</w:t>
            </w:r>
          </w:p>
        </w:tc>
        <w:tc>
          <w:tcPr>
            <w:tcW w:w="1518"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204</w:t>
            </w:r>
          </w:p>
        </w:tc>
      </w:tr>
      <w:tr w:rsidR="008D7EE5">
        <w:tc>
          <w:tcPr>
            <w:tcW w:w="1589"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Option B</w:t>
            </w:r>
          </w:p>
        </w:tc>
        <w:tc>
          <w:tcPr>
            <w:tcW w:w="1436"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88</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88</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28</w:t>
            </w:r>
          </w:p>
        </w:tc>
        <w:tc>
          <w:tcPr>
            <w:tcW w:w="1443"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highlight w:val="yellow"/>
              </w:rPr>
              <w:t>1.71</w:t>
            </w:r>
          </w:p>
        </w:tc>
        <w:tc>
          <w:tcPr>
            <w:tcW w:w="1518"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204</w:t>
            </w:r>
          </w:p>
        </w:tc>
      </w:tr>
      <w:tr w:rsidR="008D7EE5">
        <w:tc>
          <w:tcPr>
            <w:tcW w:w="1589"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Option C</w:t>
            </w:r>
          </w:p>
        </w:tc>
        <w:tc>
          <w:tcPr>
            <w:tcW w:w="1436"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34</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45</w:t>
            </w:r>
          </w:p>
        </w:tc>
        <w:tc>
          <w:tcPr>
            <w:tcW w:w="1435"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125</w:t>
            </w:r>
          </w:p>
        </w:tc>
        <w:tc>
          <w:tcPr>
            <w:tcW w:w="1443" w:type="dxa"/>
          </w:tcPr>
          <w:p w:rsidR="008D7EE5" w:rsidRPr="008D7EE5" w:rsidRDefault="008D7EE5" w:rsidP="00483354">
            <w:pPr>
              <w:spacing w:before="100" w:beforeAutospacing="1"/>
              <w:rPr>
                <w:rFonts w:ascii="Garamond" w:hAnsi="Garamond" w:cs="Times New Roman"/>
                <w:color w:val="000000"/>
                <w:sz w:val="20"/>
                <w:szCs w:val="20"/>
              </w:rPr>
            </w:pPr>
            <w:r>
              <w:rPr>
                <w:rFonts w:ascii="Garamond" w:hAnsi="Garamond" w:cs="Times New Roman"/>
                <w:color w:val="000000"/>
                <w:sz w:val="20"/>
                <w:szCs w:val="20"/>
              </w:rPr>
              <w:t>2.45</w:t>
            </w:r>
          </w:p>
        </w:tc>
        <w:tc>
          <w:tcPr>
            <w:tcW w:w="1518" w:type="dxa"/>
          </w:tcPr>
          <w:p w:rsidR="008D7EE5" w:rsidRPr="008D7EE5" w:rsidRDefault="008D7EE5" w:rsidP="00483354">
            <w:pPr>
              <w:spacing w:before="100" w:beforeAutospacing="1"/>
              <w:rPr>
                <w:rFonts w:ascii="Garamond" w:hAnsi="Garamond" w:cs="Times New Roman"/>
                <w:color w:val="000000"/>
                <w:sz w:val="20"/>
                <w:szCs w:val="20"/>
              </w:rPr>
            </w:pPr>
            <w:r w:rsidRPr="008D7EE5">
              <w:rPr>
                <w:rFonts w:ascii="Garamond" w:hAnsi="Garamond" w:cs="Times New Roman"/>
                <w:color w:val="000000"/>
                <w:sz w:val="20"/>
                <w:szCs w:val="20"/>
              </w:rPr>
              <w:t>204</w:t>
            </w:r>
          </w:p>
        </w:tc>
      </w:tr>
    </w:tbl>
    <w:p w:rsidR="008D7EE5" w:rsidRDefault="008D7EE5" w:rsidP="00483354">
      <w:pPr>
        <w:spacing w:before="100" w:beforeAutospacing="1"/>
        <w:rPr>
          <w:rFonts w:ascii="Garamond" w:hAnsi="Garamond" w:cs="Times New Roman"/>
          <w:bCs/>
          <w:iCs/>
          <w:color w:val="000000"/>
        </w:rPr>
      </w:pPr>
    </w:p>
    <w:p w:rsidR="008D7EE5" w:rsidRDefault="008D7EE5" w:rsidP="00483354">
      <w:pPr>
        <w:spacing w:before="100" w:beforeAutospacing="1"/>
        <w:rPr>
          <w:rFonts w:ascii="Garamond" w:hAnsi="Garamond" w:cs="Times New Roman"/>
          <w:bCs/>
          <w:iCs/>
          <w:color w:val="000000"/>
        </w:rPr>
      </w:pPr>
    </w:p>
    <w:p w:rsidR="008D7EE5" w:rsidRPr="005C27EB" w:rsidRDefault="008D7EE5" w:rsidP="00483354">
      <w:pPr>
        <w:spacing w:before="100" w:beforeAutospacing="1"/>
        <w:rPr>
          <w:rFonts w:ascii="Garamond" w:hAnsi="Garamond" w:cs="Times New Roman"/>
          <w:bCs/>
          <w:iCs/>
          <w:color w:val="000000"/>
        </w:rPr>
      </w:pPr>
    </w:p>
    <w:p w:rsidR="00C8418A" w:rsidRPr="00C8418A" w:rsidRDefault="00593570" w:rsidP="00C8418A">
      <w:pPr>
        <w:spacing w:before="100" w:beforeAutospacing="1"/>
        <w:rPr>
          <w:rFonts w:ascii="Garamond" w:hAnsi="Garamond" w:cs="Times New Roman"/>
          <w:color w:val="000000"/>
        </w:rPr>
      </w:pPr>
      <w:r>
        <w:rPr>
          <w:rFonts w:ascii="Garamond" w:hAnsi="Garamond" w:cs="Times New Roman"/>
          <w:b/>
          <w:bCs/>
          <w:color w:val="000000"/>
        </w:rPr>
        <w:t>Board Endorsed</w:t>
      </w:r>
      <w:r w:rsidR="00C8418A" w:rsidRPr="00C8418A">
        <w:rPr>
          <w:rFonts w:ascii="Garamond" w:hAnsi="Garamond" w:cs="Times New Roman"/>
          <w:b/>
          <w:bCs/>
          <w:color w:val="000000"/>
        </w:rPr>
        <w:t xml:space="preserve"> Strategic Directions: </w:t>
      </w:r>
    </w:p>
    <w:p w:rsidR="006D1415" w:rsidRPr="00593570"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has focused on six</w:t>
      </w:r>
      <w:r w:rsidR="00593570">
        <w:rPr>
          <w:rFonts w:ascii="Garamond" w:hAnsi="Garamond" w:cs="Times New Roman"/>
          <w:color w:val="000000"/>
        </w:rPr>
        <w:t xml:space="preserve"> strategic directions</w:t>
      </w:r>
      <w:r w:rsidRPr="00C8418A">
        <w:rPr>
          <w:rFonts w:ascii="Garamond" w:hAnsi="Garamond" w:cs="Times New Roman"/>
          <w:color w:val="000000"/>
        </w:rPr>
        <w:t xml:space="preserve"> for the COM-FSM vision of where we want to go as an organization over the next five years.</w:t>
      </w:r>
    </w:p>
    <w:p w:rsidR="007A6575" w:rsidRPr="00CC0594" w:rsidRDefault="00C8418A" w:rsidP="00C8418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Focus on student success</w:t>
      </w:r>
    </w:p>
    <w:p w:rsid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pursue excellence in student success and will develop a balance between “access and success” with appropriate career pathways for FSM students.</w:t>
      </w:r>
    </w:p>
    <w:p w:rsidR="00A4402A" w:rsidRPr="00C8418A" w:rsidRDefault="00A4402A" w:rsidP="00A4402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Emphasize academic offerings in service to national needs</w:t>
      </w:r>
    </w:p>
    <w:p w:rsidR="00A4402A" w:rsidRDefault="00A4402A" w:rsidP="00A4402A">
      <w:pPr>
        <w:spacing w:before="100" w:beforeAutospacing="1"/>
        <w:rPr>
          <w:rFonts w:ascii="Garamond" w:hAnsi="Garamond" w:cs="Times New Roman"/>
          <w:color w:val="000000"/>
        </w:rPr>
      </w:pPr>
      <w:r w:rsidRPr="00C8418A">
        <w:rPr>
          <w:rFonts w:ascii="Garamond" w:hAnsi="Garamond" w:cs="Times New Roman"/>
          <w:color w:val="000000"/>
        </w:rPr>
        <w:t>The College of Micronesia-FSM will increase the number of 4-year program opportunities while also strengthening the career and technical educational opportunities for non-college-bound students.</w:t>
      </w:r>
    </w:p>
    <w:p w:rsidR="00A4402A" w:rsidRPr="00C8418A" w:rsidRDefault="00A4402A" w:rsidP="00A4402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Be financially sound, fiscally responsible, and build resources in anticipation of future needs</w:t>
      </w:r>
    </w:p>
    <w:p w:rsidR="00A4402A" w:rsidRDefault="00A4402A" w:rsidP="00A4402A">
      <w:pPr>
        <w:spacing w:before="100" w:beforeAutospacing="1"/>
        <w:rPr>
          <w:rFonts w:ascii="Garamond" w:hAnsi="Garamond" w:cs="Times New Roman"/>
          <w:color w:val="000000"/>
        </w:rPr>
      </w:pPr>
      <w:r w:rsidRPr="00C8418A">
        <w:rPr>
          <w:rFonts w:ascii="Garamond" w:hAnsi="Garamond" w:cs="Times New Roman"/>
          <w:color w:val="000000"/>
        </w:rPr>
        <w:t>The College of Micronesia-FSM will generate diversified revenue sources, create an allied foundation, and accumulate reserves and endowment assets.</w:t>
      </w:r>
    </w:p>
    <w:p w:rsidR="00A4402A" w:rsidRPr="00C8418A" w:rsidRDefault="00A4402A" w:rsidP="00A4402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Invest in and build a strong capacity in human capital</w:t>
      </w:r>
    </w:p>
    <w:p w:rsidR="00A4402A" w:rsidRDefault="00A4402A" w:rsidP="00A4402A">
      <w:pPr>
        <w:spacing w:before="100" w:beforeAutospacing="1"/>
        <w:rPr>
          <w:rFonts w:ascii="Garamond" w:hAnsi="Garamond" w:cs="Times New Roman"/>
          <w:color w:val="000000"/>
        </w:rPr>
      </w:pPr>
      <w:r w:rsidRPr="00C8418A">
        <w:rPr>
          <w:rFonts w:ascii="Garamond" w:hAnsi="Garamond" w:cs="Times New Roman"/>
          <w:color w:val="000000"/>
        </w:rPr>
        <w:t>The College of Micronesia-FSM will support and strengthen faculty, staff, and administrators through establishment of aspirational goals for credentialing and funding professional development and building upon organizational and leadership capacity.</w:t>
      </w:r>
    </w:p>
    <w:p w:rsidR="00A4402A" w:rsidRPr="00C8418A" w:rsidRDefault="00A4402A" w:rsidP="00A4402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Become a learning organization through development of a learning culture guided by learning leaders</w:t>
      </w:r>
    </w:p>
    <w:p w:rsidR="00A4402A" w:rsidRDefault="00A4402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operate under the assumptions that learning is a skill and is worthy of investment and mastery, and that the communica</w:t>
      </w:r>
      <w:r>
        <w:rPr>
          <w:rFonts w:ascii="Garamond" w:hAnsi="Garamond" w:cs="Times New Roman"/>
          <w:color w:val="000000"/>
        </w:rPr>
        <w:t xml:space="preserve">tion of information and </w:t>
      </w:r>
      <w:r w:rsidRPr="00C8418A">
        <w:rPr>
          <w:rFonts w:ascii="Garamond" w:hAnsi="Garamond" w:cs="Times New Roman"/>
          <w:color w:val="000000"/>
        </w:rPr>
        <w:t>participatory governance are pivotal to organizational success. There will be support of the time, energy, and resources necessary to foster critical reflection and experimentation towards institutional improvement through double-loop learning and systematic thinking.</w:t>
      </w:r>
    </w:p>
    <w:p w:rsidR="00A4402A" w:rsidRPr="00C8418A" w:rsidRDefault="00A4402A" w:rsidP="00A4402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Evoke an image of quality</w:t>
      </w:r>
    </w:p>
    <w:p w:rsidR="00A4402A" w:rsidRDefault="00A4402A" w:rsidP="00A4402A">
      <w:pPr>
        <w:spacing w:before="100" w:beforeAutospacing="1"/>
        <w:rPr>
          <w:rFonts w:ascii="Garamond" w:hAnsi="Garamond" w:cs="Times New Roman"/>
          <w:color w:val="000000"/>
        </w:rPr>
      </w:pPr>
      <w:r w:rsidRPr="00C8418A">
        <w:rPr>
          <w:rFonts w:ascii="Garamond" w:hAnsi="Garamond" w:cs="Times New Roman"/>
          <w:color w:val="000000"/>
        </w:rPr>
        <w:t>The College of Micronesia-FSM will be viewed as a model institution for best practices exhibited through quality, excellence, and integrity of both employees and graduates. The college will maintain regional accreditation without sanction for the maximum six-year cycle allowed by the Accrediting Commission for Community and Junior Colleges: Western Association of Schools and Colleges.</w:t>
      </w:r>
    </w:p>
    <w:p w:rsidR="000D1776" w:rsidRPr="00C8418A" w:rsidRDefault="003C4C8C" w:rsidP="00A4402A">
      <w:pPr>
        <w:spacing w:before="100" w:beforeAutospacing="1"/>
        <w:rPr>
          <w:rFonts w:ascii="Garamond" w:hAnsi="Garamond" w:cs="Times New Roman"/>
          <w:color w:val="000000"/>
        </w:rPr>
      </w:pPr>
      <w:r>
        <w:rPr>
          <w:rFonts w:ascii="Garamond" w:hAnsi="Garamond" w:cs="Times New Roman"/>
          <w:noProof/>
          <w:color w:val="000000"/>
        </w:rPr>
        <w:pict>
          <v:line id="Straight Connector 4" o:spid="_x0000_s1026" style="position:absolute;z-index:251659264;visibility:visible" from="-26.95pt,27pt" to="468.0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" strokecolor="#4f81bd [3204]" strokeweight="2pt">
            <v:shadow on="t" opacity="24903f" origin=",.5" offset="0,20000emu"/>
          </v:line>
        </w:pict>
      </w:r>
    </w:p>
    <w:p w:rsidR="00A4402A" w:rsidRPr="00CC0594" w:rsidRDefault="00A4402A" w:rsidP="00A4402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Focus on student success</w:t>
      </w:r>
    </w:p>
    <w:p w:rsidR="00A4402A" w:rsidRDefault="00A4402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pursue excellence in student success and will develop a balance between “access and success” with appropriate career pathways for FSM students.</w:t>
      </w:r>
    </w:p>
    <w:p w:rsidR="006C6615" w:rsidRDefault="006C6615" w:rsidP="006C6615">
      <w:pPr>
        <w:spacing w:before="100" w:beforeAutospacing="1"/>
        <w:rPr>
          <w:rFonts w:ascii="Garamond" w:hAnsi="Garamond" w:cs="Times New Roman"/>
          <w:color w:val="000000"/>
        </w:rPr>
      </w:pPr>
    </w:p>
    <w:tbl>
      <w:tblPr>
        <w:tblStyle w:val="TableGrid"/>
        <w:tblW w:w="0" w:type="auto"/>
        <w:tblLook w:val="04A0"/>
      </w:tblPr>
      <w:tblGrid>
        <w:gridCol w:w="8856"/>
      </w:tblGrid>
      <w:tr w:rsidR="006C6615">
        <w:tc>
          <w:tcPr>
            <w:tcW w:w="8856" w:type="dxa"/>
            <w:shd w:val="clear" w:color="auto" w:fill="E6E6E6"/>
          </w:tcPr>
          <w:p w:rsidR="006C6615" w:rsidRDefault="006C6615" w:rsidP="006C6615">
            <w:pPr>
              <w:spacing w:before="100" w:beforeAutospacing="1"/>
              <w:rPr>
                <w:rFonts w:ascii="Garamond" w:hAnsi="Garamond" w:cs="Times New Roman"/>
                <w:color w:val="000000"/>
              </w:rPr>
            </w:pPr>
            <w:r>
              <w:rPr>
                <w:rFonts w:ascii="Garamond" w:hAnsi="Garamond" w:cs="Times New Roman"/>
                <w:color w:val="000000"/>
              </w:rPr>
              <w:t xml:space="preserve">Strategic Plan </w:t>
            </w:r>
            <w:r w:rsidRPr="00CE4A68">
              <w:rPr>
                <w:rFonts w:ascii="Garamond" w:hAnsi="Garamond" w:cs="Times New Roman"/>
                <w:color w:val="000000"/>
              </w:rPr>
              <w:t>Goal</w:t>
            </w:r>
            <w:r w:rsidRPr="00CE4A68">
              <w:rPr>
                <w:rFonts w:ascii="Garamond" w:hAnsi="Garamond" w:cs="Times New Roman"/>
                <w:bCs/>
                <w:color w:val="000000"/>
              </w:rPr>
              <w:t xml:space="preserve"> 1.1</w:t>
            </w:r>
            <w:r>
              <w:rPr>
                <w:rFonts w:ascii="Garamond" w:hAnsi="Garamond" w:cs="Times New Roman"/>
                <w:bCs/>
                <w:color w:val="000000"/>
              </w:rPr>
              <w:t xml:space="preserve">:  </w:t>
            </w:r>
            <w:r w:rsidRPr="006D1415">
              <w:rPr>
                <w:rFonts w:ascii="Garamond" w:hAnsi="Garamond" w:cs="Times New Roman"/>
                <w:bCs/>
                <w:color w:val="000000"/>
              </w:rPr>
              <w:t>Providing collaborative institutional support to advance student success by promoting student engagement and Institutional Student Learning Outcomes</w:t>
            </w:r>
            <w:r w:rsidRPr="006D1415">
              <w:rPr>
                <w:rFonts w:ascii="Garamond" w:hAnsi="Garamond" w:cs="Times New Roman"/>
                <w:color w:val="000000"/>
              </w:rPr>
              <w:t>.</w:t>
            </w:r>
          </w:p>
          <w:p w:rsidR="006C6615" w:rsidRDefault="006C6615" w:rsidP="006C6615">
            <w:pPr>
              <w:pStyle w:val="ListParagraph"/>
              <w:spacing w:before="100" w:beforeAutospacing="1"/>
              <w:rPr>
                <w:rFonts w:ascii="Garamond" w:hAnsi="Garamond" w:cs="Times New Roman"/>
                <w:color w:val="000000"/>
              </w:rPr>
            </w:pPr>
          </w:p>
        </w:tc>
      </w:tr>
    </w:tbl>
    <w:p w:rsidR="00AE4BE1" w:rsidRPr="00AE4BE1" w:rsidRDefault="00AE4BE1" w:rsidP="006D1415">
      <w:pPr>
        <w:spacing w:before="100" w:beforeAutospacing="1"/>
        <w:rPr>
          <w:rFonts w:ascii="Garamond" w:hAnsi="Garamond" w:cs="Times New Roman"/>
          <w:bCs/>
          <w:color w:val="1F497D" w:themeColor="text2"/>
        </w:rPr>
      </w:pPr>
      <w:r>
        <w:rPr>
          <w:rFonts w:ascii="Garamond" w:hAnsi="Garamond" w:cs="Times New Roman"/>
          <w:color w:val="1F497D" w:themeColor="text2"/>
        </w:rPr>
        <w:t>Measures of Success</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Evidence of new pedagogy</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Evidence of new curricula</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Retention/persistence rates (year by year enrollment)</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Graduation rates</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Number of students who transfer to four-year degree programs</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Internship experiences</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Exit interview assessments</w:t>
      </w:r>
    </w:p>
    <w:p w:rsidR="006D1415" w:rsidRPr="00C8418A" w:rsidRDefault="006D1415" w:rsidP="006D1415">
      <w:pPr>
        <w:numPr>
          <w:ilvl w:val="0"/>
          <w:numId w:val="6"/>
        </w:numPr>
        <w:spacing w:before="100" w:beforeAutospacing="1"/>
        <w:rPr>
          <w:rFonts w:ascii="Garamond" w:hAnsi="Garamond" w:cs="Times New Roman"/>
          <w:color w:val="000000"/>
        </w:rPr>
      </w:pPr>
      <w:r w:rsidRPr="00C8418A">
        <w:rPr>
          <w:rFonts w:ascii="Garamond" w:hAnsi="Garamond" w:cs="Times New Roman"/>
          <w:color w:val="000000"/>
        </w:rPr>
        <w:t>Job placement of graduates</w:t>
      </w:r>
    </w:p>
    <w:p w:rsidR="006D1415" w:rsidRDefault="006D1415" w:rsidP="006D1415">
      <w:pPr>
        <w:numPr>
          <w:ilvl w:val="0"/>
          <w:numId w:val="6"/>
        </w:numPr>
        <w:spacing w:before="100" w:beforeAutospacing="1"/>
        <w:rPr>
          <w:rFonts w:ascii="Garamond" w:hAnsi="Garamond" w:cs="Times New Roman"/>
          <w:color w:val="000000"/>
        </w:rPr>
      </w:pPr>
      <w:r>
        <w:rPr>
          <w:rFonts w:ascii="Garamond" w:hAnsi="Garamond" w:cs="Times New Roman"/>
          <w:color w:val="000000"/>
        </w:rPr>
        <w:t>CCSSE</w:t>
      </w:r>
      <w:r w:rsidRPr="00C8418A">
        <w:rPr>
          <w:rFonts w:ascii="Garamond" w:hAnsi="Garamond" w:cs="Times New Roman"/>
          <w:color w:val="000000"/>
        </w:rPr>
        <w:t xml:space="preserve"> survey results</w:t>
      </w:r>
    </w:p>
    <w:p w:rsidR="00CE4A68" w:rsidRDefault="00CE4A68" w:rsidP="006D1415">
      <w:pPr>
        <w:numPr>
          <w:ilvl w:val="0"/>
          <w:numId w:val="6"/>
        </w:numPr>
        <w:spacing w:before="100" w:beforeAutospacing="1"/>
        <w:rPr>
          <w:rFonts w:ascii="Garamond" w:hAnsi="Garamond" w:cs="Times New Roman"/>
          <w:color w:val="000000"/>
        </w:rPr>
      </w:pPr>
      <w:r>
        <w:rPr>
          <w:rFonts w:ascii="Garamond" w:hAnsi="Garamond" w:cs="Times New Roman"/>
          <w:color w:val="000000"/>
        </w:rPr>
        <w:t>ISLO assessment</w:t>
      </w:r>
    </w:p>
    <w:p w:rsidR="006D1415" w:rsidRDefault="00AE4BE1" w:rsidP="00C8418A">
      <w:pPr>
        <w:numPr>
          <w:ilvl w:val="0"/>
          <w:numId w:val="6"/>
        </w:numPr>
        <w:spacing w:before="100" w:beforeAutospacing="1"/>
        <w:rPr>
          <w:rFonts w:ascii="Garamond" w:hAnsi="Garamond" w:cs="Times New Roman"/>
          <w:color w:val="000000"/>
        </w:rPr>
      </w:pPr>
      <w:r>
        <w:rPr>
          <w:rFonts w:ascii="Garamond" w:hAnsi="Garamond" w:cs="Times New Roman"/>
          <w:color w:val="000000"/>
        </w:rPr>
        <w:t>Longitudinal graduate survey</w:t>
      </w:r>
      <w:r w:rsidR="00C87FAA">
        <w:rPr>
          <w:rFonts w:ascii="Garamond" w:hAnsi="Garamond" w:cs="Times New Roman"/>
          <w:color w:val="000000"/>
        </w:rPr>
        <w:t>s</w:t>
      </w:r>
    </w:p>
    <w:p w:rsidR="005A6727" w:rsidRDefault="005A6727" w:rsidP="005A6727">
      <w:pPr>
        <w:spacing w:before="100" w:beforeAutospacing="1"/>
        <w:rPr>
          <w:rFonts w:ascii="Garamond" w:hAnsi="Garamond" w:cs="Times New Roman"/>
          <w:color w:val="1F497D" w:themeColor="text2"/>
        </w:rPr>
      </w:pPr>
    </w:p>
    <w:tbl>
      <w:tblPr>
        <w:tblStyle w:val="TableGrid"/>
        <w:tblW w:w="0" w:type="auto"/>
        <w:tblLook w:val="04A0"/>
      </w:tblPr>
      <w:tblGrid>
        <w:gridCol w:w="4258"/>
        <w:gridCol w:w="4258"/>
      </w:tblGrid>
      <w:tr w:rsidR="005A6727">
        <w:tc>
          <w:tcPr>
            <w:tcW w:w="4258" w:type="dxa"/>
          </w:tcPr>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Original</w:t>
            </w:r>
          </w:p>
        </w:tc>
        <w:tc>
          <w:tcPr>
            <w:tcW w:w="4258" w:type="dxa"/>
          </w:tcPr>
          <w:p w:rsidR="005A6727" w:rsidRPr="005A6727" w:rsidRDefault="005A6727" w:rsidP="005A6727">
            <w:pPr>
              <w:spacing w:before="100" w:beforeAutospacing="1"/>
              <w:rPr>
                <w:rFonts w:ascii="Garamond" w:hAnsi="Garamond" w:cs="Times New Roman"/>
                <w:bCs/>
                <w:color w:val="1F497D" w:themeColor="text2"/>
              </w:rPr>
            </w:pPr>
            <w:r w:rsidRPr="005A6727">
              <w:rPr>
                <w:rFonts w:ascii="Garamond" w:hAnsi="Garamond" w:cs="Times New Roman"/>
                <w:bCs/>
                <w:color w:val="1F497D" w:themeColor="text2"/>
              </w:rPr>
              <w:t>Suggested</w:t>
            </w:r>
          </w:p>
        </w:tc>
      </w:tr>
      <w:tr w:rsidR="005A6727">
        <w:tc>
          <w:tcPr>
            <w:tcW w:w="4258" w:type="dxa"/>
          </w:tcPr>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Evidence of new pedagogy</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Evidence of new curricula</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Retention/persistence rates (year by year enrollment)</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Graduation rates</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Number of students who transfer to four-year degree programs</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Internship experiences</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Exit interview assessments</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Job placement of graduates</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CCSSE survey results</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ISLO assessment</w:t>
            </w:r>
          </w:p>
          <w:p w:rsidR="005A6727" w:rsidRPr="005A6727" w:rsidRDefault="005A6727" w:rsidP="005A6727">
            <w:pPr>
              <w:numPr>
                <w:ilvl w:val="0"/>
                <w:numId w:val="6"/>
              </w:numPr>
              <w:spacing w:before="100" w:beforeAutospacing="1"/>
              <w:rPr>
                <w:rFonts w:ascii="Garamond" w:hAnsi="Garamond" w:cs="Times New Roman"/>
                <w:color w:val="000000"/>
              </w:rPr>
            </w:pPr>
            <w:r w:rsidRPr="005A6727">
              <w:rPr>
                <w:rFonts w:ascii="Garamond" w:hAnsi="Garamond" w:cs="Times New Roman"/>
                <w:color w:val="000000"/>
              </w:rPr>
              <w:t>Longitudinal graduate surveys</w:t>
            </w:r>
          </w:p>
          <w:p w:rsidR="005A6727" w:rsidRPr="005A6727" w:rsidRDefault="005A6727" w:rsidP="005A6727">
            <w:pPr>
              <w:spacing w:before="100" w:beforeAutospacing="1"/>
              <w:rPr>
                <w:rFonts w:ascii="Garamond" w:hAnsi="Garamond" w:cs="Times New Roman"/>
                <w:bCs/>
                <w:color w:val="1F497D" w:themeColor="text2"/>
              </w:rPr>
            </w:pPr>
          </w:p>
        </w:tc>
        <w:tc>
          <w:tcPr>
            <w:tcW w:w="4258" w:type="dxa"/>
          </w:tcPr>
          <w:p w:rsidR="005A6727" w:rsidRPr="005A6727" w:rsidRDefault="005A6727" w:rsidP="005A6727">
            <w:pPr>
              <w:pStyle w:val="NoSpacing"/>
              <w:rPr>
                <w:rFonts w:ascii="Garamond" w:hAnsi="Garamond"/>
                <w:b/>
              </w:rPr>
            </w:pPr>
            <w:r w:rsidRPr="005A6727">
              <w:rPr>
                <w:rFonts w:ascii="Garamond" w:hAnsi="Garamond"/>
                <w:b/>
              </w:rPr>
              <w:t>Student Performance</w:t>
            </w:r>
          </w:p>
          <w:p w:rsidR="005A6727" w:rsidRPr="005A6727" w:rsidRDefault="005A6727" w:rsidP="005A6727">
            <w:pPr>
              <w:pStyle w:val="NoSpacing"/>
              <w:numPr>
                <w:ilvl w:val="0"/>
                <w:numId w:val="16"/>
              </w:numPr>
              <w:rPr>
                <w:rFonts w:ascii="Garamond" w:hAnsi="Garamond"/>
              </w:rPr>
            </w:pPr>
            <w:r w:rsidRPr="005A6727">
              <w:rPr>
                <w:rFonts w:ascii="Garamond" w:hAnsi="Garamond"/>
              </w:rPr>
              <w:t>Student success rate in core academic skill areas (course completion and course retention rates)</w:t>
            </w:r>
          </w:p>
          <w:p w:rsidR="005A6727" w:rsidRPr="005A6727" w:rsidRDefault="005A6727" w:rsidP="005A6727">
            <w:pPr>
              <w:pStyle w:val="NoSpacing"/>
              <w:numPr>
                <w:ilvl w:val="0"/>
                <w:numId w:val="16"/>
              </w:numPr>
              <w:rPr>
                <w:rFonts w:ascii="Garamond" w:hAnsi="Garamond"/>
              </w:rPr>
            </w:pPr>
            <w:r w:rsidRPr="005A6727">
              <w:rPr>
                <w:rFonts w:ascii="Garamond" w:hAnsi="Garamond"/>
              </w:rPr>
              <w:t>College course success rate (course completion and course retention rates)</w:t>
            </w:r>
          </w:p>
          <w:p w:rsidR="005A6727" w:rsidRPr="005A6727" w:rsidRDefault="005A6727" w:rsidP="005A6727">
            <w:pPr>
              <w:pStyle w:val="NoSpacing"/>
              <w:numPr>
                <w:ilvl w:val="0"/>
                <w:numId w:val="16"/>
              </w:numPr>
              <w:rPr>
                <w:rFonts w:ascii="Garamond" w:hAnsi="Garamond"/>
              </w:rPr>
            </w:pPr>
            <w:r w:rsidRPr="005A6727">
              <w:rPr>
                <w:rFonts w:ascii="Garamond" w:hAnsi="Garamond"/>
              </w:rPr>
              <w:t>Student academic standing by major</w:t>
            </w:r>
          </w:p>
          <w:p w:rsidR="005A6727" w:rsidRPr="005A6727" w:rsidRDefault="005A6727" w:rsidP="005A6727">
            <w:pPr>
              <w:pStyle w:val="NoSpacing"/>
              <w:numPr>
                <w:ilvl w:val="0"/>
                <w:numId w:val="16"/>
              </w:numPr>
              <w:rPr>
                <w:rFonts w:ascii="Garamond" w:hAnsi="Garamond"/>
              </w:rPr>
            </w:pPr>
            <w:r w:rsidRPr="005A6727">
              <w:rPr>
                <w:rFonts w:ascii="Garamond" w:hAnsi="Garamond"/>
              </w:rPr>
              <w:t>Developmental student success rates (course complete ion and course retention rates)</w:t>
            </w:r>
          </w:p>
          <w:p w:rsidR="005A6727" w:rsidRPr="005A6727" w:rsidRDefault="005A6727" w:rsidP="005A6727">
            <w:pPr>
              <w:pStyle w:val="NoSpacing"/>
              <w:numPr>
                <w:ilvl w:val="0"/>
                <w:numId w:val="16"/>
              </w:numPr>
              <w:rPr>
                <w:rFonts w:ascii="Garamond" w:hAnsi="Garamond"/>
              </w:rPr>
            </w:pPr>
            <w:r w:rsidRPr="005A6727">
              <w:rPr>
                <w:rFonts w:ascii="Garamond" w:hAnsi="Garamond"/>
              </w:rPr>
              <w:t>Developmental student success in first college-level course</w:t>
            </w:r>
          </w:p>
          <w:p w:rsidR="005A6727" w:rsidRPr="005A6727" w:rsidRDefault="005A6727" w:rsidP="005A6727">
            <w:pPr>
              <w:pStyle w:val="NoSpacing"/>
              <w:numPr>
                <w:ilvl w:val="0"/>
                <w:numId w:val="16"/>
              </w:numPr>
              <w:rPr>
                <w:rFonts w:ascii="Garamond" w:hAnsi="Garamond"/>
              </w:rPr>
            </w:pPr>
            <w:r w:rsidRPr="005A6727">
              <w:rPr>
                <w:rFonts w:ascii="Garamond" w:hAnsi="Garamond"/>
              </w:rPr>
              <w:t>Impact of new pedagogy on student success</w:t>
            </w:r>
          </w:p>
          <w:p w:rsidR="005A6727" w:rsidRPr="005A6727" w:rsidRDefault="005A6727" w:rsidP="005A6727">
            <w:pPr>
              <w:pStyle w:val="NoSpacing"/>
              <w:numPr>
                <w:ilvl w:val="0"/>
                <w:numId w:val="16"/>
              </w:numPr>
              <w:rPr>
                <w:rFonts w:ascii="Garamond" w:hAnsi="Garamond"/>
              </w:rPr>
            </w:pPr>
            <w:r w:rsidRPr="005A6727">
              <w:rPr>
                <w:rFonts w:ascii="Garamond" w:hAnsi="Garamond"/>
              </w:rPr>
              <w:t>Impact of new curricula on student success</w:t>
            </w:r>
          </w:p>
          <w:p w:rsidR="005A6727" w:rsidRPr="005A6727" w:rsidRDefault="005A6727" w:rsidP="005A6727">
            <w:pPr>
              <w:pStyle w:val="NoSpacing"/>
              <w:numPr>
                <w:ilvl w:val="0"/>
                <w:numId w:val="16"/>
              </w:numPr>
              <w:rPr>
                <w:rFonts w:ascii="Garamond" w:hAnsi="Garamond"/>
              </w:rPr>
            </w:pPr>
            <w:r w:rsidRPr="005A6727">
              <w:rPr>
                <w:rFonts w:ascii="Garamond" w:hAnsi="Garamond"/>
              </w:rPr>
              <w:t>College level grade distributions</w:t>
            </w:r>
          </w:p>
          <w:p w:rsidR="005A6727" w:rsidRPr="005A6727" w:rsidRDefault="005A6727" w:rsidP="005A6727">
            <w:pPr>
              <w:pStyle w:val="NoSpacing"/>
              <w:numPr>
                <w:ilvl w:val="0"/>
                <w:numId w:val="16"/>
              </w:numPr>
              <w:rPr>
                <w:rFonts w:ascii="Garamond" w:hAnsi="Garamond"/>
              </w:rPr>
            </w:pPr>
            <w:r w:rsidRPr="005A6727">
              <w:rPr>
                <w:rFonts w:ascii="Garamond" w:hAnsi="Garamond"/>
              </w:rPr>
              <w:t>General Education Assessment</w:t>
            </w:r>
          </w:p>
          <w:p w:rsidR="005A6727" w:rsidRPr="005A6727" w:rsidRDefault="005A6727" w:rsidP="005A6727">
            <w:pPr>
              <w:pStyle w:val="NoSpacing"/>
              <w:numPr>
                <w:ilvl w:val="0"/>
                <w:numId w:val="16"/>
              </w:numPr>
              <w:rPr>
                <w:rFonts w:ascii="Garamond" w:hAnsi="Garamond"/>
              </w:rPr>
            </w:pPr>
            <w:r w:rsidRPr="005A6727">
              <w:rPr>
                <w:rFonts w:ascii="Garamond" w:hAnsi="Garamond"/>
              </w:rPr>
              <w:t>Intuitional Student Learning Outcomes Assessment</w:t>
            </w:r>
          </w:p>
          <w:p w:rsidR="005A6727" w:rsidRPr="005A6727" w:rsidRDefault="005A6727" w:rsidP="005A6727">
            <w:pPr>
              <w:pStyle w:val="NoSpacing"/>
              <w:numPr>
                <w:ilvl w:val="0"/>
                <w:numId w:val="16"/>
              </w:numPr>
              <w:rPr>
                <w:rFonts w:ascii="Garamond" w:hAnsi="Garamond"/>
              </w:rPr>
            </w:pPr>
            <w:r w:rsidRPr="005A6727">
              <w:rPr>
                <w:rFonts w:ascii="Garamond" w:hAnsi="Garamond"/>
              </w:rPr>
              <w:t>Distance learning outcomes (as they become available)</w:t>
            </w:r>
          </w:p>
          <w:p w:rsidR="005A6727" w:rsidRPr="005A6727" w:rsidRDefault="005A6727" w:rsidP="005A6727">
            <w:pPr>
              <w:pStyle w:val="NoSpacing"/>
              <w:rPr>
                <w:rFonts w:ascii="Garamond" w:hAnsi="Garamond"/>
                <w:b/>
              </w:rPr>
            </w:pPr>
            <w:r w:rsidRPr="005A6727">
              <w:rPr>
                <w:rFonts w:ascii="Garamond" w:hAnsi="Garamond"/>
                <w:b/>
              </w:rPr>
              <w:t>Completion and Transfer</w:t>
            </w:r>
          </w:p>
          <w:p w:rsidR="005A6727" w:rsidRPr="005A6727" w:rsidRDefault="005A6727" w:rsidP="005A6727">
            <w:pPr>
              <w:pStyle w:val="NoSpacing"/>
              <w:numPr>
                <w:ilvl w:val="0"/>
                <w:numId w:val="17"/>
              </w:numPr>
              <w:rPr>
                <w:rFonts w:ascii="Garamond" w:hAnsi="Garamond"/>
              </w:rPr>
            </w:pPr>
            <w:r w:rsidRPr="005A6727">
              <w:rPr>
                <w:rFonts w:ascii="Garamond" w:hAnsi="Garamond"/>
              </w:rPr>
              <w:t>Certificate and degree complete rates (@ 100%, 150%, &amp; 200%)</w:t>
            </w:r>
          </w:p>
          <w:p w:rsidR="005A6727" w:rsidRPr="005A6727" w:rsidRDefault="005A6727" w:rsidP="005A6727">
            <w:pPr>
              <w:pStyle w:val="NoSpacing"/>
              <w:numPr>
                <w:ilvl w:val="0"/>
                <w:numId w:val="17"/>
              </w:numPr>
              <w:rPr>
                <w:rFonts w:ascii="Garamond" w:hAnsi="Garamond"/>
              </w:rPr>
            </w:pPr>
            <w:r w:rsidRPr="005A6727">
              <w:rPr>
                <w:rFonts w:ascii="Garamond" w:hAnsi="Garamond"/>
              </w:rPr>
              <w:t>Transfer rates (external - PPEC schools)</w:t>
            </w:r>
          </w:p>
          <w:p w:rsidR="005A6727" w:rsidRPr="005A6727" w:rsidRDefault="005A6727" w:rsidP="005A6727">
            <w:pPr>
              <w:pStyle w:val="NoSpacing"/>
              <w:numPr>
                <w:ilvl w:val="0"/>
                <w:numId w:val="17"/>
              </w:numPr>
              <w:rPr>
                <w:rFonts w:ascii="Garamond" w:hAnsi="Garamond"/>
              </w:rPr>
            </w:pPr>
            <w:r w:rsidRPr="005A6727">
              <w:rPr>
                <w:rFonts w:ascii="Garamond" w:hAnsi="Garamond"/>
              </w:rPr>
              <w:t>Performance at transfer institution (external - PPEC schools)</w:t>
            </w:r>
          </w:p>
          <w:p w:rsidR="005A6727" w:rsidRPr="005A6727" w:rsidRDefault="005A6727" w:rsidP="005A6727">
            <w:pPr>
              <w:pStyle w:val="NoSpacing"/>
              <w:numPr>
                <w:ilvl w:val="0"/>
                <w:numId w:val="17"/>
              </w:numPr>
              <w:rPr>
                <w:rFonts w:ascii="Garamond" w:hAnsi="Garamond"/>
              </w:rPr>
            </w:pPr>
            <w:r w:rsidRPr="005A6727">
              <w:rPr>
                <w:rFonts w:ascii="Garamond" w:hAnsi="Garamond"/>
              </w:rPr>
              <w:t>State campus transfer rates (internal – from state campuses to national campus)</w:t>
            </w:r>
          </w:p>
          <w:p w:rsidR="005A6727" w:rsidRPr="005A6727" w:rsidRDefault="005A6727" w:rsidP="005A6727">
            <w:pPr>
              <w:pStyle w:val="NoSpacing"/>
              <w:numPr>
                <w:ilvl w:val="0"/>
                <w:numId w:val="17"/>
              </w:numPr>
              <w:rPr>
                <w:rFonts w:ascii="Garamond" w:hAnsi="Garamond"/>
              </w:rPr>
            </w:pPr>
            <w:r w:rsidRPr="005A6727">
              <w:rPr>
                <w:rFonts w:ascii="Garamond" w:hAnsi="Garamond"/>
              </w:rPr>
              <w:t>Performance of state campus transfer students at national campus</w:t>
            </w:r>
          </w:p>
          <w:p w:rsidR="005A6727" w:rsidRPr="005A6727" w:rsidRDefault="005A6727" w:rsidP="005A6727">
            <w:pPr>
              <w:pStyle w:val="NoSpacing"/>
              <w:rPr>
                <w:rFonts w:ascii="Garamond" w:hAnsi="Garamond"/>
                <w:b/>
              </w:rPr>
            </w:pPr>
            <w:r w:rsidRPr="005A6727">
              <w:rPr>
                <w:rFonts w:ascii="Garamond" w:hAnsi="Garamond"/>
                <w:b/>
              </w:rPr>
              <w:t>Retention and Persistence</w:t>
            </w:r>
          </w:p>
          <w:p w:rsidR="005A6727" w:rsidRPr="005A6727" w:rsidRDefault="005A6727" w:rsidP="005A6727">
            <w:pPr>
              <w:pStyle w:val="NoSpacing"/>
              <w:numPr>
                <w:ilvl w:val="0"/>
                <w:numId w:val="18"/>
              </w:numPr>
              <w:rPr>
                <w:rFonts w:ascii="Garamond" w:hAnsi="Garamond"/>
              </w:rPr>
            </w:pPr>
            <w:r w:rsidRPr="005A6727">
              <w:rPr>
                <w:rFonts w:ascii="Garamond" w:hAnsi="Garamond"/>
              </w:rPr>
              <w:t>Fall-spring persistence and Fall-fall retention rates</w:t>
            </w:r>
          </w:p>
          <w:p w:rsidR="005A6727" w:rsidRPr="005A6727" w:rsidRDefault="005A6727" w:rsidP="005A6727">
            <w:pPr>
              <w:pStyle w:val="NoSpacing"/>
              <w:rPr>
                <w:rFonts w:ascii="Garamond" w:hAnsi="Garamond"/>
                <w:b/>
              </w:rPr>
            </w:pPr>
            <w:r w:rsidRPr="005A6727">
              <w:rPr>
                <w:rFonts w:ascii="Garamond" w:hAnsi="Garamond"/>
                <w:b/>
              </w:rPr>
              <w:t>Job Market</w:t>
            </w:r>
          </w:p>
          <w:p w:rsidR="005A6727" w:rsidRPr="005A6727" w:rsidRDefault="005A6727" w:rsidP="005A6727">
            <w:pPr>
              <w:pStyle w:val="NoSpacing"/>
              <w:numPr>
                <w:ilvl w:val="0"/>
                <w:numId w:val="18"/>
              </w:numPr>
              <w:rPr>
                <w:rFonts w:ascii="Garamond" w:hAnsi="Garamond"/>
                <w:b/>
              </w:rPr>
            </w:pPr>
            <w:r w:rsidRPr="005A6727">
              <w:rPr>
                <w:rFonts w:ascii="Garamond" w:hAnsi="Garamond"/>
              </w:rPr>
              <w:t>Career program completer’s employment status (within FSM)</w:t>
            </w:r>
          </w:p>
          <w:p w:rsidR="005A6727" w:rsidRPr="005A6727" w:rsidRDefault="005A6727" w:rsidP="005A6727">
            <w:pPr>
              <w:pStyle w:val="NoSpacing"/>
              <w:numPr>
                <w:ilvl w:val="0"/>
                <w:numId w:val="18"/>
              </w:numPr>
              <w:rPr>
                <w:rFonts w:ascii="Garamond" w:hAnsi="Garamond"/>
              </w:rPr>
            </w:pPr>
            <w:r w:rsidRPr="005A6727">
              <w:rPr>
                <w:rFonts w:ascii="Garamond" w:hAnsi="Garamond"/>
              </w:rPr>
              <w:t>Employer rating</w:t>
            </w:r>
          </w:p>
          <w:p w:rsidR="005A6727" w:rsidRPr="005A6727" w:rsidRDefault="005A6727" w:rsidP="005A6727">
            <w:pPr>
              <w:pStyle w:val="NoSpacing"/>
              <w:numPr>
                <w:ilvl w:val="0"/>
                <w:numId w:val="18"/>
              </w:numPr>
              <w:rPr>
                <w:rFonts w:ascii="Garamond" w:hAnsi="Garamond"/>
              </w:rPr>
            </w:pPr>
            <w:r w:rsidRPr="005A6727">
              <w:rPr>
                <w:rFonts w:ascii="Garamond" w:hAnsi="Garamond"/>
              </w:rPr>
              <w:t>Internship experiences</w:t>
            </w:r>
          </w:p>
          <w:p w:rsidR="005A6727" w:rsidRPr="005A6727" w:rsidRDefault="005A6727" w:rsidP="005A6727">
            <w:pPr>
              <w:pStyle w:val="NoSpacing"/>
              <w:rPr>
                <w:rFonts w:ascii="Garamond" w:hAnsi="Garamond"/>
                <w:b/>
              </w:rPr>
            </w:pPr>
            <w:r w:rsidRPr="005A6727">
              <w:rPr>
                <w:rFonts w:ascii="Garamond" w:hAnsi="Garamond"/>
                <w:b/>
              </w:rPr>
              <w:t>Satisfaction and Engagement</w:t>
            </w:r>
          </w:p>
          <w:p w:rsidR="005A6727" w:rsidRPr="005A6727" w:rsidRDefault="005A6727" w:rsidP="005A6727">
            <w:pPr>
              <w:pStyle w:val="NoSpacing"/>
              <w:numPr>
                <w:ilvl w:val="0"/>
                <w:numId w:val="19"/>
              </w:numPr>
              <w:rPr>
                <w:rFonts w:ascii="Garamond" w:hAnsi="Garamond"/>
                <w:b/>
              </w:rPr>
            </w:pPr>
            <w:r w:rsidRPr="005A6727">
              <w:rPr>
                <w:rFonts w:ascii="Garamond" w:hAnsi="Garamond"/>
              </w:rPr>
              <w:t>CCSSE &amp; CCFSSE</w:t>
            </w:r>
          </w:p>
          <w:p w:rsidR="005A6727" w:rsidRPr="005A6727" w:rsidRDefault="005A6727" w:rsidP="005A6727">
            <w:pPr>
              <w:pStyle w:val="NoSpacing"/>
              <w:numPr>
                <w:ilvl w:val="0"/>
                <w:numId w:val="19"/>
              </w:numPr>
              <w:rPr>
                <w:rFonts w:ascii="Garamond" w:hAnsi="Garamond"/>
                <w:b/>
              </w:rPr>
            </w:pPr>
            <w:r w:rsidRPr="005A6727">
              <w:rPr>
                <w:rFonts w:ascii="Garamond" w:hAnsi="Garamond"/>
              </w:rPr>
              <w:t>College satisfaction surveys</w:t>
            </w:r>
          </w:p>
          <w:p w:rsidR="005A6727" w:rsidRPr="005A6727" w:rsidRDefault="005A6727" w:rsidP="005A6727">
            <w:pPr>
              <w:pStyle w:val="NoSpacing"/>
              <w:rPr>
                <w:rFonts w:ascii="Garamond" w:hAnsi="Garamond"/>
                <w:b/>
              </w:rPr>
            </w:pPr>
            <w:r w:rsidRPr="005A6727">
              <w:rPr>
                <w:rFonts w:ascii="Garamond" w:hAnsi="Garamond"/>
                <w:b/>
              </w:rPr>
              <w:t>Other Institutional Effectiveness Measures</w:t>
            </w:r>
          </w:p>
          <w:p w:rsidR="005A6727" w:rsidRPr="005A6727" w:rsidRDefault="005A6727" w:rsidP="005A6727">
            <w:pPr>
              <w:pStyle w:val="NoSpacing"/>
              <w:numPr>
                <w:ilvl w:val="0"/>
                <w:numId w:val="20"/>
              </w:numPr>
              <w:rPr>
                <w:rFonts w:ascii="Garamond" w:hAnsi="Garamond"/>
              </w:rPr>
            </w:pPr>
            <w:r w:rsidRPr="005A6727">
              <w:rPr>
                <w:rFonts w:ascii="Garamond" w:hAnsi="Garamond"/>
              </w:rPr>
              <w:t>Average credit section size</w:t>
            </w:r>
          </w:p>
          <w:p w:rsidR="005A6727" w:rsidRPr="005A6727" w:rsidRDefault="005A6727" w:rsidP="005A6727">
            <w:pPr>
              <w:pStyle w:val="NoSpacing"/>
              <w:numPr>
                <w:ilvl w:val="0"/>
                <w:numId w:val="20"/>
              </w:numPr>
              <w:rPr>
                <w:rFonts w:ascii="Garamond" w:hAnsi="Garamond"/>
              </w:rPr>
            </w:pPr>
            <w:r w:rsidRPr="005A6727">
              <w:rPr>
                <w:rFonts w:ascii="Garamond" w:hAnsi="Garamond"/>
              </w:rPr>
              <w:t>Cost per credit hours and FTE students</w:t>
            </w:r>
          </w:p>
          <w:p w:rsidR="005A6727" w:rsidRPr="005A6727" w:rsidRDefault="005A6727" w:rsidP="005A6727">
            <w:pPr>
              <w:pStyle w:val="NoSpacing"/>
              <w:numPr>
                <w:ilvl w:val="0"/>
                <w:numId w:val="20"/>
              </w:numPr>
              <w:rPr>
                <w:rFonts w:ascii="Garamond" w:hAnsi="Garamond"/>
              </w:rPr>
            </w:pPr>
            <w:r w:rsidRPr="005A6727">
              <w:rPr>
                <w:rFonts w:ascii="Garamond" w:hAnsi="Garamond"/>
              </w:rPr>
              <w:t>Student/faculty ratio</w:t>
            </w:r>
          </w:p>
          <w:p w:rsidR="005A6727" w:rsidRPr="005A6727" w:rsidRDefault="005A6727" w:rsidP="005A6727">
            <w:pPr>
              <w:pStyle w:val="NoSpacing"/>
              <w:numPr>
                <w:ilvl w:val="0"/>
                <w:numId w:val="20"/>
              </w:numPr>
              <w:rPr>
                <w:rFonts w:ascii="Garamond" w:hAnsi="Garamond"/>
              </w:rPr>
            </w:pPr>
            <w:r w:rsidRPr="005A6727">
              <w:rPr>
                <w:rFonts w:ascii="Garamond" w:hAnsi="Garamond"/>
              </w:rPr>
              <w:t>Student/student services staff ratio</w:t>
            </w:r>
          </w:p>
          <w:p w:rsidR="005A6727" w:rsidRPr="005A6727" w:rsidRDefault="005A6727" w:rsidP="005A6727">
            <w:pPr>
              <w:pStyle w:val="NoSpacing"/>
              <w:numPr>
                <w:ilvl w:val="0"/>
                <w:numId w:val="20"/>
              </w:numPr>
              <w:rPr>
                <w:rFonts w:ascii="Garamond" w:hAnsi="Garamond"/>
              </w:rPr>
            </w:pPr>
            <w:r w:rsidRPr="005A6727">
              <w:rPr>
                <w:rFonts w:ascii="Garamond" w:hAnsi="Garamond"/>
              </w:rPr>
              <w:t>Instructional faculty load</w:t>
            </w:r>
          </w:p>
          <w:p w:rsidR="005A6727" w:rsidRPr="005A6727" w:rsidRDefault="005A6727" w:rsidP="005A6727">
            <w:pPr>
              <w:pStyle w:val="NoSpacing"/>
              <w:numPr>
                <w:ilvl w:val="0"/>
                <w:numId w:val="20"/>
              </w:numPr>
              <w:rPr>
                <w:rFonts w:ascii="Garamond" w:hAnsi="Garamond"/>
              </w:rPr>
            </w:pPr>
            <w:r w:rsidRPr="005A6727">
              <w:rPr>
                <w:rFonts w:ascii="Garamond" w:hAnsi="Garamond"/>
              </w:rPr>
              <w:t>Percent of program reviews meeting college quality standards</w:t>
            </w:r>
          </w:p>
          <w:p w:rsidR="005A6727" w:rsidRPr="00785A82" w:rsidRDefault="005A6727" w:rsidP="005A6727">
            <w:pPr>
              <w:pStyle w:val="NoSpacing"/>
              <w:numPr>
                <w:ilvl w:val="0"/>
                <w:numId w:val="20"/>
              </w:numPr>
              <w:rPr>
                <w:rFonts w:ascii="Garamond" w:hAnsi="Garamond"/>
              </w:rPr>
            </w:pPr>
            <w:r w:rsidRPr="005A6727">
              <w:rPr>
                <w:rFonts w:ascii="Garamond" w:hAnsi="Garamond"/>
              </w:rPr>
              <w:t>Assessment of “best practices” against Micronesian society and culture</w:t>
            </w:r>
          </w:p>
        </w:tc>
      </w:tr>
    </w:tbl>
    <w:p w:rsidR="00C8418A" w:rsidRPr="00C8418A" w:rsidRDefault="00C8418A" w:rsidP="00C8418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Emphasize academic offerings in service to national needs</w:t>
      </w:r>
    </w:p>
    <w:p w:rsid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increase the number of 4-year program opportunities while also strengthening the career and technical educational opportunities for non-college-bound students.</w:t>
      </w:r>
    </w:p>
    <w:p w:rsidR="00A4402A" w:rsidRDefault="00A4402A" w:rsidP="00C8418A">
      <w:pPr>
        <w:spacing w:before="100" w:beforeAutospacing="1"/>
        <w:rPr>
          <w:rFonts w:ascii="Garamond" w:hAnsi="Garamond" w:cs="Times New Roman"/>
          <w:color w:val="000000"/>
        </w:rPr>
      </w:pPr>
    </w:p>
    <w:tbl>
      <w:tblPr>
        <w:tblStyle w:val="TableGrid"/>
        <w:tblW w:w="0" w:type="auto"/>
        <w:tblLook w:val="04A0"/>
      </w:tblPr>
      <w:tblGrid>
        <w:gridCol w:w="8856"/>
      </w:tblGrid>
      <w:tr w:rsidR="009E6EA9">
        <w:tc>
          <w:tcPr>
            <w:tcW w:w="8856" w:type="dxa"/>
            <w:shd w:val="clear" w:color="auto" w:fill="E6E6E6"/>
          </w:tcPr>
          <w:p w:rsidR="009E6EA9" w:rsidRDefault="009E6EA9" w:rsidP="009E6EA9">
            <w:pPr>
              <w:spacing w:before="100" w:beforeAutospacing="1"/>
              <w:rPr>
                <w:rFonts w:ascii="Garamond" w:hAnsi="Garamond" w:cs="Times New Roman"/>
                <w:color w:val="000000"/>
              </w:rPr>
            </w:pPr>
            <w:r>
              <w:rPr>
                <w:rFonts w:ascii="Garamond" w:hAnsi="Garamond" w:cs="Times New Roman"/>
                <w:color w:val="000000"/>
              </w:rPr>
              <w:t>Str</w:t>
            </w:r>
            <w:r w:rsidR="00D607F0">
              <w:rPr>
                <w:rFonts w:ascii="Garamond" w:hAnsi="Garamond" w:cs="Times New Roman"/>
                <w:color w:val="000000"/>
              </w:rPr>
              <w:t>ategic Plan Goal 2.1: Increase</w:t>
            </w:r>
            <w:r>
              <w:rPr>
                <w:rFonts w:ascii="Garamond" w:hAnsi="Garamond" w:cs="Times New Roman"/>
                <w:color w:val="000000"/>
              </w:rPr>
              <w:t xml:space="preserve"> the number of 4-year program opportunities by</w:t>
            </w:r>
          </w:p>
          <w:p w:rsidR="009E6EA9" w:rsidRDefault="009E6EA9" w:rsidP="009E6EA9">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Increasing the number of articulation agreements;</w:t>
            </w:r>
          </w:p>
          <w:p w:rsidR="009E6EA9" w:rsidRDefault="009E6EA9" w:rsidP="009E6EA9">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Increasing the nu</w:t>
            </w:r>
            <w:r w:rsidR="00FF6728">
              <w:rPr>
                <w:rFonts w:ascii="Garamond" w:hAnsi="Garamond" w:cs="Times New Roman"/>
                <w:color w:val="000000"/>
              </w:rPr>
              <w:t>mber of partnership programs</w:t>
            </w:r>
            <w:r>
              <w:rPr>
                <w:rFonts w:ascii="Garamond" w:hAnsi="Garamond" w:cs="Times New Roman"/>
                <w:color w:val="000000"/>
              </w:rPr>
              <w:t>;</w:t>
            </w:r>
            <w:r w:rsidR="00FF6728">
              <w:rPr>
                <w:rFonts w:ascii="Garamond" w:hAnsi="Garamond" w:cs="Times New Roman"/>
                <w:color w:val="000000"/>
              </w:rPr>
              <w:t xml:space="preserve"> and</w:t>
            </w:r>
          </w:p>
          <w:p w:rsidR="009E6EA9" w:rsidRPr="00AB2FEB" w:rsidRDefault="009E6EA9" w:rsidP="00C8418A">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Exploring distance learning opportunities.</w:t>
            </w:r>
          </w:p>
        </w:tc>
      </w:tr>
    </w:tbl>
    <w:p w:rsidR="00892469" w:rsidRDefault="00892469" w:rsidP="00892469">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892469" w:rsidRDefault="00892469" w:rsidP="00892469">
      <w:pPr>
        <w:pStyle w:val="ListParagraph"/>
        <w:numPr>
          <w:ilvl w:val="0"/>
          <w:numId w:val="9"/>
        </w:numPr>
        <w:spacing w:before="100" w:beforeAutospacing="1"/>
        <w:rPr>
          <w:rFonts w:ascii="Garamond" w:hAnsi="Garamond" w:cs="Times New Roman"/>
        </w:rPr>
      </w:pPr>
      <w:r>
        <w:rPr>
          <w:rFonts w:ascii="Garamond" w:hAnsi="Garamond" w:cs="Times New Roman"/>
        </w:rPr>
        <w:t>Articulation agreements</w:t>
      </w:r>
    </w:p>
    <w:p w:rsidR="00892469" w:rsidRDefault="00892469" w:rsidP="00892469">
      <w:pPr>
        <w:pStyle w:val="ListParagraph"/>
        <w:numPr>
          <w:ilvl w:val="0"/>
          <w:numId w:val="9"/>
        </w:numPr>
        <w:spacing w:before="100" w:beforeAutospacing="1"/>
        <w:rPr>
          <w:rFonts w:ascii="Garamond" w:hAnsi="Garamond" w:cs="Times New Roman"/>
        </w:rPr>
      </w:pPr>
      <w:r>
        <w:rPr>
          <w:rFonts w:ascii="Garamond" w:hAnsi="Garamond" w:cs="Times New Roman"/>
        </w:rPr>
        <w:t>Partnership programs</w:t>
      </w:r>
    </w:p>
    <w:p w:rsidR="00AB2FEB" w:rsidRDefault="005720EE" w:rsidP="00AB2FEB">
      <w:pPr>
        <w:pStyle w:val="ListParagraph"/>
        <w:numPr>
          <w:ilvl w:val="0"/>
          <w:numId w:val="9"/>
        </w:numPr>
        <w:spacing w:before="100" w:beforeAutospacing="1"/>
        <w:rPr>
          <w:rFonts w:ascii="Garamond" w:hAnsi="Garamond" w:cs="Times New Roman"/>
        </w:rPr>
      </w:pPr>
      <w:r>
        <w:rPr>
          <w:rFonts w:ascii="Garamond" w:hAnsi="Garamond" w:cs="Times New Roman"/>
        </w:rPr>
        <w:t>Viable distance learning options</w:t>
      </w:r>
    </w:p>
    <w:p w:rsidR="00471877" w:rsidRDefault="00471877" w:rsidP="00471877">
      <w:pPr>
        <w:spacing w:before="100" w:beforeAutospacing="1"/>
        <w:rPr>
          <w:rFonts w:ascii="Garamond" w:hAnsi="Garamond" w:cs="Times New Roman"/>
          <w:color w:val="1F497D" w:themeColor="text2"/>
        </w:rPr>
      </w:pPr>
    </w:p>
    <w:tbl>
      <w:tblPr>
        <w:tblStyle w:val="TableGrid"/>
        <w:tblW w:w="0" w:type="auto"/>
        <w:tblLook w:val="04A0"/>
      </w:tblPr>
      <w:tblGrid>
        <w:gridCol w:w="4258"/>
        <w:gridCol w:w="4258"/>
      </w:tblGrid>
      <w:tr w:rsidR="00471877">
        <w:tc>
          <w:tcPr>
            <w:tcW w:w="4258" w:type="dxa"/>
          </w:tcPr>
          <w:p w:rsidR="00471877" w:rsidRPr="00471877" w:rsidRDefault="00471877" w:rsidP="008C28AA">
            <w:pPr>
              <w:spacing w:before="100" w:beforeAutospacing="1"/>
              <w:rPr>
                <w:rFonts w:ascii="Garamond" w:hAnsi="Garamond" w:cs="Times New Roman"/>
                <w:color w:val="1F497D" w:themeColor="text2"/>
              </w:rPr>
            </w:pPr>
            <w:r w:rsidRPr="00471877">
              <w:rPr>
                <w:rFonts w:ascii="Garamond" w:hAnsi="Garamond" w:cs="Times New Roman"/>
                <w:color w:val="1F497D" w:themeColor="text2"/>
              </w:rPr>
              <w:t>Original</w:t>
            </w:r>
          </w:p>
        </w:tc>
        <w:tc>
          <w:tcPr>
            <w:tcW w:w="4258" w:type="dxa"/>
          </w:tcPr>
          <w:p w:rsidR="00471877" w:rsidRPr="00471877" w:rsidRDefault="00471877" w:rsidP="008C28AA">
            <w:pPr>
              <w:spacing w:before="100" w:beforeAutospacing="1"/>
              <w:rPr>
                <w:rFonts w:ascii="Garamond" w:hAnsi="Garamond" w:cs="Times New Roman"/>
                <w:color w:val="1F497D" w:themeColor="text2"/>
              </w:rPr>
            </w:pPr>
            <w:r w:rsidRPr="00471877">
              <w:rPr>
                <w:rFonts w:ascii="Garamond" w:hAnsi="Garamond" w:cs="Times New Roman"/>
              </w:rPr>
              <w:t>Suggested (note: future articulation and partnership agreements need to have data exchange built into the agreements – gathering data on current agreements may be difficult )</w:t>
            </w:r>
          </w:p>
        </w:tc>
      </w:tr>
      <w:tr w:rsidR="00471877">
        <w:tc>
          <w:tcPr>
            <w:tcW w:w="4258" w:type="dxa"/>
          </w:tcPr>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Articulation agreements</w:t>
            </w:r>
          </w:p>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Partnership programs</w:t>
            </w:r>
          </w:p>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Viable distance learning options</w:t>
            </w:r>
          </w:p>
          <w:p w:rsidR="00471877" w:rsidRPr="00471877" w:rsidRDefault="00471877" w:rsidP="008C28AA">
            <w:pPr>
              <w:spacing w:before="100" w:beforeAutospacing="1"/>
              <w:rPr>
                <w:rFonts w:ascii="Garamond" w:hAnsi="Garamond" w:cs="Times New Roman"/>
                <w:color w:val="1F497D" w:themeColor="text2"/>
              </w:rPr>
            </w:pPr>
          </w:p>
        </w:tc>
        <w:tc>
          <w:tcPr>
            <w:tcW w:w="4258" w:type="dxa"/>
          </w:tcPr>
          <w:p w:rsidR="00471877" w:rsidRPr="00471877" w:rsidRDefault="00471877" w:rsidP="00471877">
            <w:pPr>
              <w:pStyle w:val="ListParagraph"/>
              <w:numPr>
                <w:ilvl w:val="0"/>
                <w:numId w:val="9"/>
              </w:numPr>
              <w:spacing w:before="100" w:beforeAutospacing="1"/>
              <w:ind w:left="422"/>
              <w:rPr>
                <w:rFonts w:ascii="Garamond" w:hAnsi="Garamond" w:cs="Times New Roman"/>
              </w:rPr>
            </w:pPr>
            <w:r w:rsidRPr="00471877">
              <w:rPr>
                <w:rFonts w:ascii="Garamond" w:hAnsi="Garamond" w:cs="Times New Roman"/>
              </w:rPr>
              <w:t>Articulation agreements (Number of agreements and number of students who take advantage of those agreements)</w:t>
            </w:r>
          </w:p>
          <w:p w:rsidR="00471877" w:rsidRPr="00471877" w:rsidRDefault="00471877" w:rsidP="00471877">
            <w:pPr>
              <w:pStyle w:val="ListParagraph"/>
              <w:numPr>
                <w:ilvl w:val="0"/>
                <w:numId w:val="9"/>
              </w:numPr>
              <w:spacing w:before="100" w:beforeAutospacing="1"/>
              <w:ind w:left="422"/>
              <w:rPr>
                <w:rFonts w:ascii="Garamond" w:hAnsi="Garamond" w:cs="Times New Roman"/>
              </w:rPr>
            </w:pPr>
            <w:r w:rsidRPr="00471877">
              <w:rPr>
                <w:rFonts w:ascii="Garamond" w:hAnsi="Garamond" w:cs="Times New Roman"/>
              </w:rPr>
              <w:t>Partnership agreements (Number of agreements and number of students who take advantages of those agreements)</w:t>
            </w:r>
          </w:p>
          <w:p w:rsidR="00471877" w:rsidRPr="00471877" w:rsidRDefault="00471877" w:rsidP="00471877">
            <w:pPr>
              <w:pStyle w:val="ListParagraph"/>
              <w:numPr>
                <w:ilvl w:val="0"/>
                <w:numId w:val="9"/>
              </w:numPr>
              <w:spacing w:before="100" w:beforeAutospacing="1"/>
              <w:ind w:left="422"/>
              <w:rPr>
                <w:rFonts w:ascii="Garamond" w:hAnsi="Garamond" w:cs="Times New Roman"/>
                <w:color w:val="1F497D" w:themeColor="text2"/>
              </w:rPr>
            </w:pPr>
            <w:r w:rsidRPr="00471877">
              <w:rPr>
                <w:rFonts w:ascii="Garamond" w:hAnsi="Garamond" w:cs="Times New Roman"/>
              </w:rPr>
              <w:t>Number of courses and credit hours delivered via distance learning (Also include student success related information under strategic indicative 1 once distance learning program is in place)</w:t>
            </w:r>
          </w:p>
        </w:tc>
      </w:tr>
    </w:tbl>
    <w:p w:rsidR="00593570" w:rsidRPr="00593570" w:rsidRDefault="00593570" w:rsidP="00593570">
      <w:pPr>
        <w:spacing w:before="100" w:beforeAutospacing="1"/>
        <w:rPr>
          <w:rFonts w:ascii="Garamond" w:hAnsi="Garamond" w:cs="Times New Roman"/>
        </w:rPr>
      </w:pPr>
    </w:p>
    <w:tbl>
      <w:tblPr>
        <w:tblStyle w:val="TableGrid"/>
        <w:tblW w:w="0" w:type="auto"/>
        <w:tblLook w:val="04A0"/>
      </w:tblPr>
      <w:tblGrid>
        <w:gridCol w:w="8856"/>
      </w:tblGrid>
      <w:tr w:rsidR="00AB2FEB">
        <w:tc>
          <w:tcPr>
            <w:tcW w:w="8856" w:type="dxa"/>
            <w:shd w:val="clear" w:color="auto" w:fill="E6E6E6"/>
          </w:tcPr>
          <w:p w:rsidR="00AB2FEB" w:rsidRPr="00AB2FEB" w:rsidRDefault="00AB2FEB" w:rsidP="00AB2FEB">
            <w:pPr>
              <w:spacing w:before="100" w:beforeAutospacing="1"/>
              <w:rPr>
                <w:rFonts w:ascii="Garamond" w:hAnsi="Garamond" w:cs="Times New Roman"/>
                <w:color w:val="000000"/>
              </w:rPr>
            </w:pPr>
            <w:r>
              <w:rPr>
                <w:rFonts w:ascii="Garamond" w:hAnsi="Garamond" w:cs="Times New Roman"/>
                <w:color w:val="000000"/>
              </w:rPr>
              <w:t>Strate</w:t>
            </w:r>
            <w:r w:rsidR="00D607F0">
              <w:rPr>
                <w:rFonts w:ascii="Garamond" w:hAnsi="Garamond" w:cs="Times New Roman"/>
                <w:color w:val="000000"/>
              </w:rPr>
              <w:t>gic Plan Goal 2.2: Strengthen</w:t>
            </w:r>
            <w:r w:rsidRPr="00C8418A">
              <w:rPr>
                <w:rFonts w:ascii="Garamond" w:hAnsi="Garamond" w:cs="Times New Roman"/>
                <w:color w:val="000000"/>
              </w:rPr>
              <w:t>career and technical educational opportunities for non-college-bound students</w:t>
            </w:r>
            <w:r>
              <w:rPr>
                <w:rFonts w:ascii="Garamond" w:hAnsi="Garamond" w:cs="Times New Roman"/>
                <w:color w:val="000000"/>
              </w:rPr>
              <w:t xml:space="preserve"> by</w:t>
            </w:r>
          </w:p>
          <w:p w:rsidR="00AB2FEB" w:rsidRDefault="00AE437D" w:rsidP="00B47DFE">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Exploring opportunities with agencies and NGOs;</w:t>
            </w:r>
          </w:p>
          <w:p w:rsidR="00AE437D" w:rsidRDefault="00AE437D" w:rsidP="00B47DFE">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Increasing training opportunities with existing partners;</w:t>
            </w:r>
          </w:p>
          <w:p w:rsidR="00AE437D" w:rsidRDefault="00DD0F2E" w:rsidP="00B47DFE">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Exploring provision for certification examinations;</w:t>
            </w:r>
            <w:r w:rsidR="00FF6728">
              <w:rPr>
                <w:rFonts w:ascii="Garamond" w:hAnsi="Garamond" w:cs="Times New Roman"/>
                <w:color w:val="000000"/>
              </w:rPr>
              <w:t xml:space="preserve"> and</w:t>
            </w:r>
          </w:p>
          <w:p w:rsidR="00B47DFE" w:rsidRPr="00AB2FEB" w:rsidRDefault="00374040" w:rsidP="00B47DFE">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 xml:space="preserve">Focusing on programs and courses to support career </w:t>
            </w:r>
            <w:r w:rsidR="006B4015">
              <w:rPr>
                <w:rFonts w:ascii="Garamond" w:hAnsi="Garamond" w:cs="Times New Roman"/>
                <w:color w:val="000000"/>
              </w:rPr>
              <w:t xml:space="preserve">and technical education </w:t>
            </w:r>
            <w:r>
              <w:rPr>
                <w:rFonts w:ascii="Garamond" w:hAnsi="Garamond" w:cs="Times New Roman"/>
                <w:color w:val="000000"/>
              </w:rPr>
              <w:t>development benefitting both students and future employers</w:t>
            </w:r>
            <w:r w:rsidR="00D62BF6">
              <w:rPr>
                <w:rFonts w:ascii="Garamond" w:hAnsi="Garamond" w:cs="Times New Roman"/>
                <w:color w:val="000000"/>
              </w:rPr>
              <w:t>.</w:t>
            </w:r>
          </w:p>
        </w:tc>
      </w:tr>
    </w:tbl>
    <w:p w:rsidR="00AB2FEB" w:rsidRDefault="00AB2FEB" w:rsidP="00AB2FEB">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AB2FEB" w:rsidRDefault="00E23E09" w:rsidP="00AB2FEB">
      <w:pPr>
        <w:pStyle w:val="ListParagraph"/>
        <w:numPr>
          <w:ilvl w:val="0"/>
          <w:numId w:val="9"/>
        </w:numPr>
        <w:spacing w:before="100" w:beforeAutospacing="1"/>
        <w:rPr>
          <w:rFonts w:ascii="Garamond" w:hAnsi="Garamond" w:cs="Times New Roman"/>
        </w:rPr>
      </w:pPr>
      <w:r>
        <w:rPr>
          <w:rFonts w:ascii="Garamond" w:hAnsi="Garamond" w:cs="Times New Roman"/>
        </w:rPr>
        <w:t>Viable opportunities with agencies and NGOs development</w:t>
      </w:r>
    </w:p>
    <w:p w:rsidR="00E23E09" w:rsidRDefault="00E23E09" w:rsidP="00AB2FEB">
      <w:pPr>
        <w:pStyle w:val="ListParagraph"/>
        <w:numPr>
          <w:ilvl w:val="0"/>
          <w:numId w:val="9"/>
        </w:numPr>
        <w:spacing w:before="100" w:beforeAutospacing="1"/>
        <w:rPr>
          <w:rFonts w:ascii="Garamond" w:hAnsi="Garamond" w:cs="Times New Roman"/>
        </w:rPr>
      </w:pPr>
      <w:r>
        <w:rPr>
          <w:rFonts w:ascii="Garamond" w:hAnsi="Garamond" w:cs="Times New Roman"/>
        </w:rPr>
        <w:t>Training opportunities</w:t>
      </w:r>
    </w:p>
    <w:p w:rsidR="00E23E09" w:rsidRDefault="00E23E09" w:rsidP="00AB2FEB">
      <w:pPr>
        <w:pStyle w:val="ListParagraph"/>
        <w:numPr>
          <w:ilvl w:val="0"/>
          <w:numId w:val="9"/>
        </w:numPr>
        <w:spacing w:before="100" w:beforeAutospacing="1"/>
        <w:rPr>
          <w:rFonts w:ascii="Garamond" w:hAnsi="Garamond" w:cs="Times New Roman"/>
        </w:rPr>
      </w:pPr>
      <w:r>
        <w:rPr>
          <w:rFonts w:ascii="Garamond" w:hAnsi="Garamond" w:cs="Times New Roman"/>
        </w:rPr>
        <w:t xml:space="preserve">Viable opportunities for </w:t>
      </w:r>
      <w:r w:rsidR="00096347">
        <w:rPr>
          <w:rFonts w:ascii="Garamond" w:hAnsi="Garamond" w:cs="Times New Roman"/>
        </w:rPr>
        <w:t xml:space="preserve">increased </w:t>
      </w:r>
      <w:r>
        <w:rPr>
          <w:rFonts w:ascii="Garamond" w:hAnsi="Garamond" w:cs="Times New Roman"/>
        </w:rPr>
        <w:t>student access to certification examinations</w:t>
      </w:r>
    </w:p>
    <w:p w:rsidR="00E23E09" w:rsidRPr="00C8418A" w:rsidRDefault="00E23E09" w:rsidP="00E23E09">
      <w:pPr>
        <w:numPr>
          <w:ilvl w:val="0"/>
          <w:numId w:val="9"/>
        </w:numPr>
        <w:spacing w:before="100" w:beforeAutospacing="1"/>
        <w:rPr>
          <w:rFonts w:ascii="Garamond" w:hAnsi="Garamond" w:cs="Times New Roman"/>
          <w:color w:val="000000"/>
        </w:rPr>
      </w:pPr>
      <w:r w:rsidRPr="00C8418A">
        <w:rPr>
          <w:rFonts w:ascii="Garamond" w:hAnsi="Garamond" w:cs="Times New Roman"/>
          <w:color w:val="000000"/>
        </w:rPr>
        <w:t>Evidence of new pedagogy</w:t>
      </w:r>
    </w:p>
    <w:p w:rsidR="00E23E09" w:rsidRPr="00C8418A" w:rsidRDefault="00E23E09" w:rsidP="00E23E09">
      <w:pPr>
        <w:numPr>
          <w:ilvl w:val="0"/>
          <w:numId w:val="9"/>
        </w:numPr>
        <w:spacing w:before="100" w:beforeAutospacing="1"/>
        <w:rPr>
          <w:rFonts w:ascii="Garamond" w:hAnsi="Garamond" w:cs="Times New Roman"/>
          <w:color w:val="000000"/>
        </w:rPr>
      </w:pPr>
      <w:r w:rsidRPr="00C8418A">
        <w:rPr>
          <w:rFonts w:ascii="Garamond" w:hAnsi="Garamond" w:cs="Times New Roman"/>
          <w:color w:val="000000"/>
        </w:rPr>
        <w:t>Evidence of new curricula</w:t>
      </w:r>
    </w:p>
    <w:p w:rsidR="00E23E09" w:rsidRDefault="006F688A" w:rsidP="00AB2FEB">
      <w:pPr>
        <w:pStyle w:val="ListParagraph"/>
        <w:numPr>
          <w:ilvl w:val="0"/>
          <w:numId w:val="9"/>
        </w:numPr>
        <w:spacing w:before="100" w:beforeAutospacing="1"/>
        <w:rPr>
          <w:rFonts w:ascii="Garamond" w:hAnsi="Garamond" w:cs="Times New Roman"/>
        </w:rPr>
      </w:pPr>
      <w:r>
        <w:rPr>
          <w:rFonts w:ascii="Garamond" w:hAnsi="Garamond" w:cs="Times New Roman"/>
        </w:rPr>
        <w:t>Job placement</w:t>
      </w:r>
    </w:p>
    <w:p w:rsidR="006F688A" w:rsidRDefault="006F688A" w:rsidP="00AB2FEB">
      <w:pPr>
        <w:pStyle w:val="ListParagraph"/>
        <w:numPr>
          <w:ilvl w:val="0"/>
          <w:numId w:val="9"/>
        </w:numPr>
        <w:spacing w:before="100" w:beforeAutospacing="1"/>
        <w:rPr>
          <w:rFonts w:ascii="Garamond" w:hAnsi="Garamond" w:cs="Times New Roman"/>
        </w:rPr>
      </w:pPr>
      <w:r>
        <w:rPr>
          <w:rFonts w:ascii="Garamond" w:hAnsi="Garamond" w:cs="Times New Roman"/>
        </w:rPr>
        <w:t>Number of internships</w:t>
      </w:r>
    </w:p>
    <w:p w:rsidR="00471877" w:rsidRDefault="00096347" w:rsidP="00471877">
      <w:pPr>
        <w:pStyle w:val="ListParagraph"/>
        <w:numPr>
          <w:ilvl w:val="0"/>
          <w:numId w:val="9"/>
        </w:numPr>
        <w:spacing w:before="100" w:beforeAutospacing="1"/>
        <w:rPr>
          <w:rFonts w:ascii="Garamond" w:hAnsi="Garamond" w:cs="Times New Roman"/>
        </w:rPr>
      </w:pPr>
      <w:r>
        <w:rPr>
          <w:rFonts w:ascii="Garamond" w:hAnsi="Garamond" w:cs="Times New Roman"/>
        </w:rPr>
        <w:t>Employer surveys of graduates/interns</w:t>
      </w:r>
    </w:p>
    <w:p w:rsidR="00785A82" w:rsidRPr="00785A82" w:rsidRDefault="00785A82" w:rsidP="00785A82">
      <w:pPr>
        <w:pStyle w:val="ListParagraph"/>
        <w:spacing w:before="100" w:beforeAutospacing="1"/>
        <w:rPr>
          <w:rFonts w:ascii="Garamond" w:hAnsi="Garamond" w:cs="Times New Roman"/>
        </w:rPr>
      </w:pPr>
    </w:p>
    <w:tbl>
      <w:tblPr>
        <w:tblStyle w:val="TableGrid"/>
        <w:tblW w:w="0" w:type="auto"/>
        <w:tblLook w:val="04A0"/>
      </w:tblPr>
      <w:tblGrid>
        <w:gridCol w:w="4258"/>
        <w:gridCol w:w="4258"/>
      </w:tblGrid>
      <w:tr w:rsidR="00471877">
        <w:tc>
          <w:tcPr>
            <w:tcW w:w="4258" w:type="dxa"/>
          </w:tcPr>
          <w:p w:rsidR="00471877" w:rsidRPr="00471877" w:rsidRDefault="00471877" w:rsidP="008C28AA">
            <w:pPr>
              <w:pStyle w:val="NoSpacing"/>
              <w:rPr>
                <w:rFonts w:ascii="Garamond" w:hAnsi="Garamond"/>
              </w:rPr>
            </w:pPr>
            <w:r w:rsidRPr="00471877">
              <w:rPr>
                <w:rFonts w:ascii="Garamond" w:hAnsi="Garamond"/>
              </w:rPr>
              <w:t>Original</w:t>
            </w:r>
          </w:p>
        </w:tc>
        <w:tc>
          <w:tcPr>
            <w:tcW w:w="4258" w:type="dxa"/>
          </w:tcPr>
          <w:p w:rsidR="00471877" w:rsidRPr="00471877" w:rsidRDefault="00471877" w:rsidP="008C28AA">
            <w:pPr>
              <w:pStyle w:val="NoSpacing"/>
              <w:rPr>
                <w:rFonts w:ascii="Garamond" w:hAnsi="Garamond"/>
              </w:rPr>
            </w:pPr>
            <w:r w:rsidRPr="00471877">
              <w:rPr>
                <w:rFonts w:ascii="Garamond" w:hAnsi="Garamond"/>
              </w:rPr>
              <w:t>Suggested</w:t>
            </w:r>
          </w:p>
        </w:tc>
      </w:tr>
      <w:tr w:rsidR="00471877">
        <w:tc>
          <w:tcPr>
            <w:tcW w:w="4258" w:type="dxa"/>
          </w:tcPr>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Viable opportunities with agencies and NGOs development</w:t>
            </w:r>
          </w:p>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Training opportunities</w:t>
            </w:r>
          </w:p>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Viable opportunities for increased student access to certification examinations</w:t>
            </w:r>
          </w:p>
          <w:p w:rsidR="00471877" w:rsidRPr="00471877" w:rsidRDefault="00471877" w:rsidP="00471877">
            <w:pPr>
              <w:numPr>
                <w:ilvl w:val="0"/>
                <w:numId w:val="9"/>
              </w:numPr>
              <w:spacing w:before="100" w:beforeAutospacing="1"/>
              <w:rPr>
                <w:rFonts w:ascii="Garamond" w:hAnsi="Garamond" w:cs="Times New Roman"/>
                <w:color w:val="000000"/>
              </w:rPr>
            </w:pPr>
            <w:r w:rsidRPr="00471877">
              <w:rPr>
                <w:rFonts w:ascii="Garamond" w:hAnsi="Garamond" w:cs="Times New Roman"/>
                <w:color w:val="000000"/>
              </w:rPr>
              <w:t>Evidence of new pedagogy</w:t>
            </w:r>
          </w:p>
          <w:p w:rsidR="00471877" w:rsidRPr="00471877" w:rsidRDefault="00471877" w:rsidP="00471877">
            <w:pPr>
              <w:numPr>
                <w:ilvl w:val="0"/>
                <w:numId w:val="9"/>
              </w:numPr>
              <w:spacing w:before="100" w:beforeAutospacing="1"/>
              <w:rPr>
                <w:rFonts w:ascii="Garamond" w:hAnsi="Garamond" w:cs="Times New Roman"/>
                <w:color w:val="000000"/>
              </w:rPr>
            </w:pPr>
            <w:r w:rsidRPr="00471877">
              <w:rPr>
                <w:rFonts w:ascii="Garamond" w:hAnsi="Garamond" w:cs="Times New Roman"/>
                <w:color w:val="000000"/>
              </w:rPr>
              <w:t>Evidence of new curricula</w:t>
            </w:r>
          </w:p>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Job placement</w:t>
            </w:r>
          </w:p>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Number of internships</w:t>
            </w:r>
          </w:p>
          <w:p w:rsidR="00471877" w:rsidRPr="00471877" w:rsidRDefault="00471877" w:rsidP="00471877">
            <w:pPr>
              <w:pStyle w:val="ListParagraph"/>
              <w:numPr>
                <w:ilvl w:val="0"/>
                <w:numId w:val="9"/>
              </w:numPr>
              <w:spacing w:before="100" w:beforeAutospacing="1"/>
              <w:rPr>
                <w:rFonts w:ascii="Garamond" w:hAnsi="Garamond" w:cs="Times New Roman"/>
              </w:rPr>
            </w:pPr>
            <w:r w:rsidRPr="00471877">
              <w:rPr>
                <w:rFonts w:ascii="Garamond" w:hAnsi="Garamond" w:cs="Times New Roman"/>
              </w:rPr>
              <w:t>Employer surveys of graduates/interns</w:t>
            </w:r>
          </w:p>
          <w:p w:rsidR="00471877" w:rsidRPr="00471877" w:rsidRDefault="00471877" w:rsidP="008C28AA">
            <w:pPr>
              <w:pStyle w:val="NoSpacing"/>
              <w:rPr>
                <w:rFonts w:ascii="Garamond" w:hAnsi="Garamond"/>
              </w:rPr>
            </w:pPr>
          </w:p>
        </w:tc>
        <w:tc>
          <w:tcPr>
            <w:tcW w:w="4258" w:type="dxa"/>
          </w:tcPr>
          <w:p w:rsidR="00471877" w:rsidRPr="00471877" w:rsidRDefault="00471877" w:rsidP="008C28AA">
            <w:pPr>
              <w:pStyle w:val="NoSpacing"/>
              <w:rPr>
                <w:rFonts w:ascii="Garamond" w:hAnsi="Garamond"/>
                <w:b/>
              </w:rPr>
            </w:pPr>
            <w:r w:rsidRPr="00471877">
              <w:rPr>
                <w:rFonts w:ascii="Garamond" w:hAnsi="Garamond"/>
                <w:b/>
              </w:rPr>
              <w:t>Certification examinations</w:t>
            </w:r>
          </w:p>
          <w:p w:rsidR="00471877" w:rsidRPr="00471877" w:rsidRDefault="00471877" w:rsidP="00471877">
            <w:pPr>
              <w:pStyle w:val="NoSpacing"/>
              <w:numPr>
                <w:ilvl w:val="0"/>
                <w:numId w:val="21"/>
              </w:numPr>
              <w:rPr>
                <w:rFonts w:ascii="Garamond" w:hAnsi="Garamond"/>
              </w:rPr>
            </w:pPr>
            <w:r w:rsidRPr="00471877">
              <w:rPr>
                <w:rFonts w:ascii="Garamond" w:hAnsi="Garamond"/>
              </w:rPr>
              <w:t xml:space="preserve">Descriptive statistics of certification examinations available, percent passing the examinations and impact on employment. </w:t>
            </w:r>
          </w:p>
          <w:p w:rsidR="00471877" w:rsidRPr="00471877" w:rsidRDefault="00471877" w:rsidP="008C28AA">
            <w:pPr>
              <w:pStyle w:val="NoSpacing"/>
              <w:rPr>
                <w:rFonts w:ascii="Garamond" w:hAnsi="Garamond"/>
                <w:b/>
              </w:rPr>
            </w:pPr>
            <w:r w:rsidRPr="00471877">
              <w:rPr>
                <w:rFonts w:ascii="Garamond" w:hAnsi="Garamond"/>
                <w:b/>
              </w:rPr>
              <w:t>Training and Opportunities</w:t>
            </w:r>
          </w:p>
          <w:p w:rsidR="00471877" w:rsidRPr="00471877" w:rsidRDefault="00471877" w:rsidP="00471877">
            <w:pPr>
              <w:pStyle w:val="NoSpacing"/>
              <w:numPr>
                <w:ilvl w:val="0"/>
                <w:numId w:val="21"/>
              </w:numPr>
              <w:rPr>
                <w:rFonts w:ascii="Garamond" w:hAnsi="Garamond"/>
              </w:rPr>
            </w:pPr>
            <w:r w:rsidRPr="00471877">
              <w:rPr>
                <w:rFonts w:ascii="Garamond" w:hAnsi="Garamond"/>
              </w:rPr>
              <w:t xml:space="preserve">Descriptive statistics for training by category (out of school youth, non-college bound students, national, state and private sector existing workforce upgrading, etc.) including job placement. </w:t>
            </w:r>
          </w:p>
          <w:p w:rsidR="00471877" w:rsidRPr="00471877" w:rsidRDefault="00471877" w:rsidP="00471877">
            <w:pPr>
              <w:pStyle w:val="NoSpacing"/>
              <w:numPr>
                <w:ilvl w:val="0"/>
                <w:numId w:val="21"/>
              </w:numPr>
              <w:rPr>
                <w:rFonts w:ascii="Garamond" w:hAnsi="Garamond"/>
              </w:rPr>
            </w:pPr>
            <w:r w:rsidRPr="00471877">
              <w:rPr>
                <w:rFonts w:ascii="Garamond" w:hAnsi="Garamond"/>
              </w:rPr>
              <w:t>Assessment of impact of training on work performance.</w:t>
            </w:r>
          </w:p>
          <w:p w:rsidR="00471877" w:rsidRPr="00471877" w:rsidRDefault="00471877" w:rsidP="00471877">
            <w:pPr>
              <w:pStyle w:val="NoSpacing"/>
              <w:numPr>
                <w:ilvl w:val="0"/>
                <w:numId w:val="21"/>
              </w:numPr>
              <w:rPr>
                <w:rFonts w:ascii="Garamond" w:hAnsi="Garamond"/>
              </w:rPr>
            </w:pPr>
            <w:r w:rsidRPr="00471877">
              <w:rPr>
                <w:rFonts w:ascii="Garamond" w:hAnsi="Garamond"/>
              </w:rPr>
              <w:t>Assessment of training opportunities program design and impact.</w:t>
            </w:r>
          </w:p>
          <w:p w:rsidR="00471877" w:rsidRPr="00471877" w:rsidRDefault="00471877" w:rsidP="00471877">
            <w:pPr>
              <w:pStyle w:val="NoSpacing"/>
              <w:numPr>
                <w:ilvl w:val="0"/>
                <w:numId w:val="21"/>
              </w:numPr>
              <w:rPr>
                <w:rFonts w:ascii="Garamond" w:hAnsi="Garamond"/>
              </w:rPr>
            </w:pPr>
            <w:r w:rsidRPr="00471877">
              <w:rPr>
                <w:rFonts w:ascii="Garamond" w:hAnsi="Garamond"/>
              </w:rPr>
              <w:t>Descriptive statistics regarding internships including intern performance and related job placement.</w:t>
            </w:r>
          </w:p>
        </w:tc>
      </w:tr>
    </w:tbl>
    <w:p w:rsidR="00A4402A" w:rsidRPr="00471877" w:rsidRDefault="00A4402A" w:rsidP="00471877">
      <w:pPr>
        <w:spacing w:before="100" w:beforeAutospacing="1"/>
        <w:ind w:left="360"/>
        <w:rPr>
          <w:rFonts w:ascii="Garamond" w:hAnsi="Garamond" w:cs="Times New Roman"/>
        </w:rPr>
      </w:pPr>
    </w:p>
    <w:p w:rsidR="00C8418A" w:rsidRPr="00C8418A" w:rsidRDefault="00C8418A" w:rsidP="00C8418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Be financially sound, fiscally responsible, and build resources in anticipation of future needs</w:t>
      </w:r>
    </w:p>
    <w:p w:rsid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generate diversified revenue sources, create an allied foundation, and accumulate reserves and endowment assets.</w:t>
      </w:r>
    </w:p>
    <w:p w:rsidR="002537E2" w:rsidRDefault="002537E2" w:rsidP="002537E2">
      <w:pPr>
        <w:spacing w:before="100" w:beforeAutospacing="1"/>
        <w:rPr>
          <w:rFonts w:ascii="Garamond" w:hAnsi="Garamond" w:cs="Times New Roman"/>
          <w:color w:val="000000"/>
        </w:rPr>
      </w:pPr>
    </w:p>
    <w:tbl>
      <w:tblPr>
        <w:tblStyle w:val="TableGrid"/>
        <w:tblW w:w="0" w:type="auto"/>
        <w:tblLook w:val="04A0"/>
      </w:tblPr>
      <w:tblGrid>
        <w:gridCol w:w="8856"/>
      </w:tblGrid>
      <w:tr w:rsidR="002537E2">
        <w:tc>
          <w:tcPr>
            <w:tcW w:w="8856" w:type="dxa"/>
            <w:shd w:val="clear" w:color="auto" w:fill="E6E6E6"/>
          </w:tcPr>
          <w:p w:rsidR="002537E2" w:rsidRDefault="002537E2" w:rsidP="002537E2">
            <w:pPr>
              <w:spacing w:before="100" w:beforeAutospacing="1"/>
              <w:rPr>
                <w:rFonts w:ascii="Garamond" w:hAnsi="Garamond" w:cs="Times New Roman"/>
                <w:color w:val="000000"/>
              </w:rPr>
            </w:pPr>
            <w:r>
              <w:rPr>
                <w:rFonts w:ascii="Garamond" w:hAnsi="Garamond" w:cs="Times New Roman"/>
                <w:color w:val="000000"/>
              </w:rPr>
              <w:t>Stra</w:t>
            </w:r>
            <w:r w:rsidR="00D607F0">
              <w:rPr>
                <w:rFonts w:ascii="Garamond" w:hAnsi="Garamond" w:cs="Times New Roman"/>
                <w:color w:val="000000"/>
              </w:rPr>
              <w:t>tegic Plan Goal 3.1: Maintain</w:t>
            </w:r>
            <w:r>
              <w:rPr>
                <w:rFonts w:ascii="Garamond" w:hAnsi="Garamond" w:cs="Times New Roman"/>
                <w:color w:val="000000"/>
              </w:rPr>
              <w:t xml:space="preserve"> a financially sound, fiscally responsible institution by:</w:t>
            </w:r>
          </w:p>
          <w:p w:rsidR="002537E2" w:rsidRDefault="002537E2" w:rsidP="00557E3D">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Generating diversified revenue sources;</w:t>
            </w:r>
          </w:p>
          <w:p w:rsidR="002537E2" w:rsidRDefault="002537E2" w:rsidP="00557E3D">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Creating an allied foundation;</w:t>
            </w:r>
          </w:p>
          <w:p w:rsidR="002537E2" w:rsidRDefault="00FF6728" w:rsidP="002537E2">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Accumulating reserves</w:t>
            </w:r>
            <w:r w:rsidR="002537E2">
              <w:rPr>
                <w:rFonts w:ascii="Garamond" w:hAnsi="Garamond" w:cs="Times New Roman"/>
                <w:color w:val="000000"/>
              </w:rPr>
              <w:t>;</w:t>
            </w:r>
            <w:r>
              <w:rPr>
                <w:rFonts w:ascii="Garamond" w:hAnsi="Garamond" w:cs="Times New Roman"/>
                <w:color w:val="000000"/>
              </w:rPr>
              <w:t xml:space="preserve"> and</w:t>
            </w:r>
          </w:p>
          <w:p w:rsidR="002537E2" w:rsidRPr="00AB2FEB" w:rsidRDefault="002537E2" w:rsidP="002537E2">
            <w:pPr>
              <w:pStyle w:val="ListParagraph"/>
              <w:numPr>
                <w:ilvl w:val="0"/>
                <w:numId w:val="7"/>
              </w:numPr>
              <w:spacing w:before="100" w:beforeAutospacing="1"/>
              <w:rPr>
                <w:rFonts w:ascii="Garamond" w:hAnsi="Garamond" w:cs="Times New Roman"/>
                <w:color w:val="000000"/>
              </w:rPr>
            </w:pPr>
            <w:r>
              <w:rPr>
                <w:rFonts w:ascii="Garamond" w:hAnsi="Garamond" w:cs="Times New Roman"/>
                <w:color w:val="000000"/>
              </w:rPr>
              <w:t>Accumulating endowment assets.</w:t>
            </w:r>
          </w:p>
        </w:tc>
      </w:tr>
    </w:tbl>
    <w:p w:rsidR="0077183C" w:rsidRDefault="0077183C" w:rsidP="0077183C">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2537E2" w:rsidRDefault="0077183C" w:rsidP="0077183C">
      <w:pPr>
        <w:pStyle w:val="ListParagraph"/>
        <w:numPr>
          <w:ilvl w:val="0"/>
          <w:numId w:val="10"/>
        </w:numPr>
        <w:spacing w:before="100" w:beforeAutospacing="1"/>
        <w:rPr>
          <w:rFonts w:ascii="Garamond" w:hAnsi="Garamond" w:cs="Times New Roman"/>
          <w:color w:val="000000"/>
        </w:rPr>
      </w:pPr>
      <w:r>
        <w:rPr>
          <w:rFonts w:ascii="Garamond" w:hAnsi="Garamond" w:cs="Times New Roman"/>
          <w:color w:val="000000"/>
        </w:rPr>
        <w:t>Established allied foundation</w:t>
      </w:r>
    </w:p>
    <w:p w:rsidR="0077183C" w:rsidRDefault="0077183C" w:rsidP="0077183C">
      <w:pPr>
        <w:pStyle w:val="ListParagraph"/>
        <w:numPr>
          <w:ilvl w:val="0"/>
          <w:numId w:val="10"/>
        </w:numPr>
        <w:spacing w:before="100" w:beforeAutospacing="1"/>
        <w:rPr>
          <w:rFonts w:ascii="Garamond" w:hAnsi="Garamond" w:cs="Times New Roman"/>
          <w:color w:val="000000"/>
        </w:rPr>
      </w:pPr>
      <w:r>
        <w:rPr>
          <w:rFonts w:ascii="Garamond" w:hAnsi="Garamond" w:cs="Times New Roman"/>
          <w:color w:val="000000"/>
        </w:rPr>
        <w:t>Revenue sources</w:t>
      </w:r>
    </w:p>
    <w:p w:rsidR="0077183C" w:rsidRDefault="0077183C" w:rsidP="0077183C">
      <w:pPr>
        <w:pStyle w:val="ListParagraph"/>
        <w:numPr>
          <w:ilvl w:val="0"/>
          <w:numId w:val="10"/>
        </w:numPr>
        <w:spacing w:before="100" w:beforeAutospacing="1"/>
        <w:rPr>
          <w:rFonts w:ascii="Garamond" w:hAnsi="Garamond" w:cs="Times New Roman"/>
          <w:color w:val="000000"/>
        </w:rPr>
      </w:pPr>
      <w:r>
        <w:rPr>
          <w:rFonts w:ascii="Garamond" w:hAnsi="Garamond" w:cs="Times New Roman"/>
          <w:color w:val="000000"/>
        </w:rPr>
        <w:t xml:space="preserve">Reserve </w:t>
      </w:r>
      <w:r w:rsidR="00557E3D">
        <w:rPr>
          <w:rFonts w:ascii="Garamond" w:hAnsi="Garamond" w:cs="Times New Roman"/>
          <w:color w:val="000000"/>
        </w:rPr>
        <w:t xml:space="preserve">fund </w:t>
      </w:r>
      <w:r>
        <w:rPr>
          <w:rFonts w:ascii="Garamond" w:hAnsi="Garamond" w:cs="Times New Roman"/>
          <w:color w:val="000000"/>
        </w:rPr>
        <w:t>balance</w:t>
      </w:r>
    </w:p>
    <w:p w:rsidR="0077183C" w:rsidRDefault="004F39A9" w:rsidP="0077183C">
      <w:pPr>
        <w:pStyle w:val="ListParagraph"/>
        <w:numPr>
          <w:ilvl w:val="0"/>
          <w:numId w:val="10"/>
        </w:numPr>
        <w:spacing w:before="100" w:beforeAutospacing="1"/>
        <w:rPr>
          <w:rFonts w:ascii="Garamond" w:hAnsi="Garamond" w:cs="Times New Roman"/>
          <w:color w:val="000000"/>
        </w:rPr>
      </w:pPr>
      <w:r>
        <w:rPr>
          <w:rFonts w:ascii="Garamond" w:hAnsi="Garamond" w:cs="Times New Roman"/>
          <w:color w:val="000000"/>
        </w:rPr>
        <w:t>Endowment asset balance</w:t>
      </w:r>
    </w:p>
    <w:p w:rsidR="008A4E8D" w:rsidRDefault="008A4E8D" w:rsidP="0077183C">
      <w:pPr>
        <w:pStyle w:val="ListParagraph"/>
        <w:numPr>
          <w:ilvl w:val="0"/>
          <w:numId w:val="10"/>
        </w:numPr>
        <w:spacing w:before="100" w:beforeAutospacing="1"/>
        <w:rPr>
          <w:rFonts w:ascii="Garamond" w:hAnsi="Garamond" w:cs="Times New Roman"/>
          <w:color w:val="000000"/>
        </w:rPr>
      </w:pPr>
      <w:r>
        <w:rPr>
          <w:rFonts w:ascii="Garamond" w:hAnsi="Garamond" w:cs="Times New Roman"/>
          <w:color w:val="000000"/>
        </w:rPr>
        <w:t>Investments</w:t>
      </w:r>
    </w:p>
    <w:p w:rsidR="00EF58B7" w:rsidRDefault="00EF58B7" w:rsidP="0077183C">
      <w:pPr>
        <w:pStyle w:val="ListParagraph"/>
        <w:numPr>
          <w:ilvl w:val="0"/>
          <w:numId w:val="10"/>
        </w:numPr>
        <w:spacing w:before="100" w:beforeAutospacing="1"/>
        <w:rPr>
          <w:rFonts w:ascii="Garamond" w:hAnsi="Garamond" w:cs="Times New Roman"/>
          <w:color w:val="000000"/>
        </w:rPr>
      </w:pPr>
      <w:r>
        <w:rPr>
          <w:rFonts w:ascii="Garamond" w:hAnsi="Garamond" w:cs="Times New Roman"/>
          <w:color w:val="000000"/>
        </w:rPr>
        <w:t>Grants</w:t>
      </w:r>
    </w:p>
    <w:p w:rsidR="008A4E8D" w:rsidRDefault="008A4E8D" w:rsidP="0077183C">
      <w:pPr>
        <w:pStyle w:val="ListParagraph"/>
        <w:numPr>
          <w:ilvl w:val="0"/>
          <w:numId w:val="10"/>
        </w:numPr>
        <w:spacing w:before="100" w:beforeAutospacing="1"/>
        <w:rPr>
          <w:rFonts w:ascii="Garamond" w:hAnsi="Garamond" w:cs="Times New Roman"/>
          <w:color w:val="000000"/>
        </w:rPr>
      </w:pPr>
      <w:r>
        <w:rPr>
          <w:rFonts w:ascii="Garamond" w:hAnsi="Garamond" w:cs="Times New Roman"/>
          <w:color w:val="000000"/>
        </w:rPr>
        <w:t>Other revenue sources we should include?</w:t>
      </w:r>
    </w:p>
    <w:p w:rsidR="00471877" w:rsidRDefault="00471877" w:rsidP="00471877">
      <w:pPr>
        <w:spacing w:before="100" w:beforeAutospacing="1"/>
        <w:rPr>
          <w:rFonts w:ascii="Garamond" w:hAnsi="Garamond" w:cs="Times New Roman"/>
          <w:color w:val="1F497D" w:themeColor="text2"/>
        </w:rPr>
      </w:pPr>
    </w:p>
    <w:tbl>
      <w:tblPr>
        <w:tblStyle w:val="TableGrid"/>
        <w:tblW w:w="0" w:type="auto"/>
        <w:tblLook w:val="04A0"/>
      </w:tblPr>
      <w:tblGrid>
        <w:gridCol w:w="4258"/>
        <w:gridCol w:w="4258"/>
      </w:tblGrid>
      <w:tr w:rsidR="00471877">
        <w:tc>
          <w:tcPr>
            <w:tcW w:w="4258" w:type="dxa"/>
          </w:tcPr>
          <w:p w:rsidR="00471877" w:rsidRPr="00764735" w:rsidRDefault="00471877"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Original</w:t>
            </w:r>
          </w:p>
        </w:tc>
        <w:tc>
          <w:tcPr>
            <w:tcW w:w="4258" w:type="dxa"/>
          </w:tcPr>
          <w:p w:rsidR="00471877" w:rsidRPr="00764735" w:rsidRDefault="00471877"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Suggested</w:t>
            </w:r>
          </w:p>
        </w:tc>
      </w:tr>
      <w:tr w:rsidR="00471877">
        <w:tc>
          <w:tcPr>
            <w:tcW w:w="4258" w:type="dxa"/>
          </w:tcPr>
          <w:p w:rsidR="00471877" w:rsidRPr="00471877" w:rsidRDefault="00471877" w:rsidP="00471877">
            <w:pPr>
              <w:pStyle w:val="ListParagraph"/>
              <w:numPr>
                <w:ilvl w:val="0"/>
                <w:numId w:val="10"/>
              </w:numPr>
              <w:spacing w:before="100" w:beforeAutospacing="1"/>
              <w:rPr>
                <w:rFonts w:ascii="Garamond" w:hAnsi="Garamond" w:cs="Times New Roman"/>
                <w:color w:val="000000"/>
              </w:rPr>
            </w:pPr>
            <w:r w:rsidRPr="00471877">
              <w:rPr>
                <w:rFonts w:ascii="Garamond" w:hAnsi="Garamond" w:cs="Times New Roman"/>
                <w:color w:val="000000"/>
              </w:rPr>
              <w:t>Established allied foundation</w:t>
            </w:r>
          </w:p>
          <w:p w:rsidR="00471877" w:rsidRPr="00471877" w:rsidRDefault="00471877" w:rsidP="00471877">
            <w:pPr>
              <w:pStyle w:val="ListParagraph"/>
              <w:numPr>
                <w:ilvl w:val="0"/>
                <w:numId w:val="10"/>
              </w:numPr>
              <w:spacing w:before="100" w:beforeAutospacing="1"/>
              <w:rPr>
                <w:rFonts w:ascii="Garamond" w:hAnsi="Garamond" w:cs="Times New Roman"/>
                <w:color w:val="000000"/>
              </w:rPr>
            </w:pPr>
            <w:r w:rsidRPr="00471877">
              <w:rPr>
                <w:rFonts w:ascii="Garamond" w:hAnsi="Garamond" w:cs="Times New Roman"/>
                <w:color w:val="000000"/>
              </w:rPr>
              <w:t>Revenue sources</w:t>
            </w:r>
          </w:p>
          <w:p w:rsidR="00471877" w:rsidRPr="00471877" w:rsidRDefault="00471877" w:rsidP="00471877">
            <w:pPr>
              <w:pStyle w:val="ListParagraph"/>
              <w:numPr>
                <w:ilvl w:val="0"/>
                <w:numId w:val="10"/>
              </w:numPr>
              <w:spacing w:before="100" w:beforeAutospacing="1"/>
              <w:rPr>
                <w:rFonts w:ascii="Garamond" w:hAnsi="Garamond" w:cs="Times New Roman"/>
                <w:color w:val="000000"/>
              </w:rPr>
            </w:pPr>
            <w:r w:rsidRPr="00471877">
              <w:rPr>
                <w:rFonts w:ascii="Garamond" w:hAnsi="Garamond" w:cs="Times New Roman"/>
                <w:color w:val="000000"/>
              </w:rPr>
              <w:t>Reserve fund balance</w:t>
            </w:r>
          </w:p>
          <w:p w:rsidR="00471877" w:rsidRPr="00471877" w:rsidRDefault="00471877" w:rsidP="00471877">
            <w:pPr>
              <w:pStyle w:val="ListParagraph"/>
              <w:numPr>
                <w:ilvl w:val="0"/>
                <w:numId w:val="10"/>
              </w:numPr>
              <w:spacing w:before="100" w:beforeAutospacing="1"/>
              <w:rPr>
                <w:rFonts w:ascii="Garamond" w:hAnsi="Garamond" w:cs="Times New Roman"/>
                <w:color w:val="000000"/>
              </w:rPr>
            </w:pPr>
            <w:r w:rsidRPr="00471877">
              <w:rPr>
                <w:rFonts w:ascii="Garamond" w:hAnsi="Garamond" w:cs="Times New Roman"/>
                <w:color w:val="000000"/>
              </w:rPr>
              <w:t>Endowment asset balance</w:t>
            </w:r>
          </w:p>
          <w:p w:rsidR="00471877" w:rsidRPr="00471877" w:rsidRDefault="00471877" w:rsidP="00471877">
            <w:pPr>
              <w:pStyle w:val="ListParagraph"/>
              <w:numPr>
                <w:ilvl w:val="0"/>
                <w:numId w:val="10"/>
              </w:numPr>
              <w:spacing w:before="100" w:beforeAutospacing="1"/>
              <w:rPr>
                <w:rFonts w:ascii="Garamond" w:hAnsi="Garamond" w:cs="Times New Roman"/>
                <w:color w:val="000000"/>
              </w:rPr>
            </w:pPr>
            <w:r w:rsidRPr="00471877">
              <w:rPr>
                <w:rFonts w:ascii="Garamond" w:hAnsi="Garamond" w:cs="Times New Roman"/>
                <w:color w:val="000000"/>
              </w:rPr>
              <w:t>Investments</w:t>
            </w:r>
          </w:p>
          <w:p w:rsidR="00471877" w:rsidRPr="00471877" w:rsidRDefault="00471877" w:rsidP="00471877">
            <w:pPr>
              <w:pStyle w:val="ListParagraph"/>
              <w:numPr>
                <w:ilvl w:val="0"/>
                <w:numId w:val="10"/>
              </w:numPr>
              <w:spacing w:before="100" w:beforeAutospacing="1"/>
              <w:rPr>
                <w:rFonts w:ascii="Garamond" w:hAnsi="Garamond" w:cs="Times New Roman"/>
                <w:color w:val="000000"/>
              </w:rPr>
            </w:pPr>
            <w:r w:rsidRPr="00471877">
              <w:rPr>
                <w:rFonts w:ascii="Garamond" w:hAnsi="Garamond" w:cs="Times New Roman"/>
                <w:color w:val="000000"/>
              </w:rPr>
              <w:t>Grants</w:t>
            </w:r>
          </w:p>
          <w:p w:rsidR="00471877" w:rsidRPr="00471877" w:rsidRDefault="00471877" w:rsidP="00471877">
            <w:pPr>
              <w:pStyle w:val="ListParagraph"/>
              <w:numPr>
                <w:ilvl w:val="0"/>
                <w:numId w:val="10"/>
              </w:numPr>
              <w:spacing w:before="100" w:beforeAutospacing="1"/>
              <w:rPr>
                <w:rFonts w:ascii="Garamond" w:hAnsi="Garamond" w:cs="Times New Roman"/>
                <w:color w:val="000000"/>
              </w:rPr>
            </w:pPr>
            <w:r w:rsidRPr="00471877">
              <w:rPr>
                <w:rFonts w:ascii="Garamond" w:hAnsi="Garamond" w:cs="Times New Roman"/>
                <w:color w:val="000000"/>
              </w:rPr>
              <w:t>Other revenue sources we should include?</w:t>
            </w:r>
          </w:p>
          <w:p w:rsidR="00471877" w:rsidRPr="00471877" w:rsidRDefault="00471877" w:rsidP="008C28AA">
            <w:pPr>
              <w:spacing w:before="100" w:beforeAutospacing="1"/>
              <w:rPr>
                <w:rFonts w:ascii="Garamond" w:hAnsi="Garamond" w:cs="Times New Roman"/>
              </w:rPr>
            </w:pPr>
          </w:p>
        </w:tc>
        <w:tc>
          <w:tcPr>
            <w:tcW w:w="4258" w:type="dxa"/>
          </w:tcPr>
          <w:p w:rsidR="00471877" w:rsidRPr="00471877" w:rsidRDefault="00471877" w:rsidP="008C28AA">
            <w:pPr>
              <w:spacing w:before="100" w:beforeAutospacing="1"/>
              <w:ind w:left="62"/>
              <w:rPr>
                <w:rFonts w:ascii="Garamond" w:hAnsi="Garamond" w:cs="Times New Roman"/>
                <w:b/>
              </w:rPr>
            </w:pPr>
            <w:r w:rsidRPr="00471877">
              <w:rPr>
                <w:rFonts w:ascii="Garamond" w:hAnsi="Garamond" w:cs="Times New Roman"/>
                <w:b/>
              </w:rPr>
              <w:t>Students financials</w:t>
            </w:r>
          </w:p>
          <w:p w:rsidR="00471877" w:rsidRPr="00471877" w:rsidRDefault="00471877" w:rsidP="00471877">
            <w:pPr>
              <w:pStyle w:val="NoSpacing"/>
              <w:numPr>
                <w:ilvl w:val="0"/>
                <w:numId w:val="10"/>
              </w:numPr>
              <w:ind w:left="422"/>
              <w:rPr>
                <w:rFonts w:ascii="Garamond" w:hAnsi="Garamond"/>
              </w:rPr>
            </w:pPr>
            <w:r w:rsidRPr="00471877">
              <w:rPr>
                <w:rFonts w:ascii="Garamond" w:hAnsi="Garamond"/>
              </w:rPr>
              <w:t>The number rand percent of recent FSM High School graduates who attend COM-FSM.</w:t>
            </w:r>
          </w:p>
          <w:p w:rsidR="00471877" w:rsidRPr="00471877" w:rsidRDefault="00471877" w:rsidP="00471877">
            <w:pPr>
              <w:pStyle w:val="NoSpacing"/>
              <w:numPr>
                <w:ilvl w:val="0"/>
                <w:numId w:val="10"/>
              </w:numPr>
              <w:ind w:left="422"/>
              <w:rPr>
                <w:rFonts w:ascii="Garamond" w:hAnsi="Garamond"/>
              </w:rPr>
            </w:pPr>
            <w:r w:rsidRPr="00471877">
              <w:rPr>
                <w:rFonts w:ascii="Garamond" w:hAnsi="Garamond"/>
              </w:rPr>
              <w:t>Percent of students receiving US financial aid and average financial aid received.</w:t>
            </w:r>
          </w:p>
          <w:p w:rsidR="00471877" w:rsidRPr="00471877" w:rsidRDefault="00471877" w:rsidP="00471877">
            <w:pPr>
              <w:pStyle w:val="NoSpacing"/>
              <w:numPr>
                <w:ilvl w:val="0"/>
                <w:numId w:val="10"/>
              </w:numPr>
              <w:ind w:left="422"/>
              <w:rPr>
                <w:rFonts w:ascii="Garamond" w:hAnsi="Garamond"/>
              </w:rPr>
            </w:pPr>
            <w:r w:rsidRPr="00471877">
              <w:rPr>
                <w:rFonts w:ascii="Garamond" w:hAnsi="Garamond"/>
              </w:rPr>
              <w:t>Dollar amount and percent of students receiving either FSM national or state grants assistance and average amount received.</w:t>
            </w:r>
          </w:p>
          <w:p w:rsidR="00471877" w:rsidRPr="00471877" w:rsidRDefault="00471877" w:rsidP="00471877">
            <w:pPr>
              <w:pStyle w:val="NoSpacing"/>
              <w:numPr>
                <w:ilvl w:val="0"/>
                <w:numId w:val="10"/>
              </w:numPr>
              <w:ind w:left="422"/>
              <w:rPr>
                <w:rFonts w:ascii="Garamond" w:hAnsi="Garamond"/>
              </w:rPr>
            </w:pPr>
            <w:r w:rsidRPr="00471877">
              <w:rPr>
                <w:rFonts w:ascii="Garamond" w:hAnsi="Garamond"/>
              </w:rPr>
              <w:t xml:space="preserve">Affordability of the college tuition, fees and other costs. </w:t>
            </w:r>
          </w:p>
          <w:p w:rsidR="00471877" w:rsidRPr="00471877" w:rsidRDefault="00471877" w:rsidP="00471877">
            <w:pPr>
              <w:pStyle w:val="NoSpacing"/>
              <w:numPr>
                <w:ilvl w:val="0"/>
                <w:numId w:val="10"/>
              </w:numPr>
              <w:ind w:left="422"/>
              <w:rPr>
                <w:rFonts w:ascii="Garamond" w:hAnsi="Garamond"/>
              </w:rPr>
            </w:pPr>
            <w:r w:rsidRPr="00471877">
              <w:rPr>
                <w:rFonts w:ascii="Garamond" w:hAnsi="Garamond"/>
              </w:rPr>
              <w:t xml:space="preserve">Percent of students in good financial standing for US and FSM aid programs.  </w:t>
            </w:r>
          </w:p>
          <w:p w:rsidR="00471877" w:rsidRPr="00471877" w:rsidRDefault="00471877" w:rsidP="008C28AA">
            <w:pPr>
              <w:pStyle w:val="NoSpacing"/>
              <w:ind w:left="62"/>
              <w:rPr>
                <w:rFonts w:ascii="Garamond" w:hAnsi="Garamond"/>
                <w:b/>
              </w:rPr>
            </w:pPr>
            <w:r w:rsidRPr="00471877">
              <w:rPr>
                <w:rFonts w:ascii="Garamond" w:hAnsi="Garamond"/>
                <w:b/>
              </w:rPr>
              <w:t>Endowment and Fund balance</w:t>
            </w:r>
          </w:p>
          <w:p w:rsidR="00471877" w:rsidRPr="00471877" w:rsidRDefault="00471877" w:rsidP="00471877">
            <w:pPr>
              <w:pStyle w:val="NoSpacing"/>
              <w:numPr>
                <w:ilvl w:val="0"/>
                <w:numId w:val="22"/>
              </w:numPr>
              <w:rPr>
                <w:rFonts w:ascii="Garamond" w:hAnsi="Garamond"/>
              </w:rPr>
            </w:pPr>
            <w:r w:rsidRPr="00471877">
              <w:rPr>
                <w:rFonts w:ascii="Garamond" w:hAnsi="Garamond"/>
              </w:rPr>
              <w:t>Dollar amount and percent change in fund balance per year.</w:t>
            </w:r>
          </w:p>
          <w:p w:rsidR="00471877" w:rsidRPr="00471877" w:rsidRDefault="00471877" w:rsidP="00471877">
            <w:pPr>
              <w:pStyle w:val="NoSpacing"/>
              <w:numPr>
                <w:ilvl w:val="0"/>
                <w:numId w:val="22"/>
              </w:numPr>
              <w:rPr>
                <w:rFonts w:ascii="Garamond" w:hAnsi="Garamond"/>
              </w:rPr>
            </w:pPr>
            <w:r w:rsidRPr="00471877">
              <w:rPr>
                <w:rFonts w:ascii="Garamond" w:hAnsi="Garamond"/>
              </w:rPr>
              <w:t>Dollar amount and percent change in endowment per year.</w:t>
            </w:r>
          </w:p>
          <w:p w:rsidR="00471877" w:rsidRPr="00471877" w:rsidRDefault="00471877" w:rsidP="00471877">
            <w:pPr>
              <w:pStyle w:val="NoSpacing"/>
              <w:numPr>
                <w:ilvl w:val="0"/>
                <w:numId w:val="22"/>
              </w:numPr>
              <w:rPr>
                <w:rFonts w:ascii="Garamond" w:hAnsi="Garamond"/>
              </w:rPr>
            </w:pPr>
            <w:r w:rsidRPr="00471877">
              <w:rPr>
                <w:rFonts w:ascii="Garamond" w:hAnsi="Garamond"/>
              </w:rPr>
              <w:t>Descriptive statistics for investment related to college funds.</w:t>
            </w:r>
          </w:p>
          <w:p w:rsidR="00471877" w:rsidRPr="00471877" w:rsidRDefault="00471877" w:rsidP="008C28AA">
            <w:pPr>
              <w:pStyle w:val="NoSpacing"/>
              <w:rPr>
                <w:rFonts w:ascii="Garamond" w:hAnsi="Garamond"/>
                <w:b/>
              </w:rPr>
            </w:pPr>
            <w:r w:rsidRPr="00471877">
              <w:rPr>
                <w:rFonts w:ascii="Garamond" w:hAnsi="Garamond"/>
                <w:b/>
              </w:rPr>
              <w:t>Revenue Sources and Allocations</w:t>
            </w:r>
          </w:p>
          <w:p w:rsidR="00471877" w:rsidRPr="00471877" w:rsidRDefault="00471877" w:rsidP="00471877">
            <w:pPr>
              <w:pStyle w:val="NoSpacing"/>
              <w:numPr>
                <w:ilvl w:val="0"/>
                <w:numId w:val="23"/>
              </w:numPr>
              <w:rPr>
                <w:rFonts w:ascii="Garamond" w:hAnsi="Garamond"/>
              </w:rPr>
            </w:pPr>
            <w:r w:rsidRPr="00471877">
              <w:rPr>
                <w:rFonts w:ascii="Garamond" w:hAnsi="Garamond"/>
              </w:rPr>
              <w:t>Diversity of revenue sources</w:t>
            </w:r>
          </w:p>
          <w:p w:rsidR="00471877" w:rsidRPr="00471877" w:rsidRDefault="00471877" w:rsidP="00471877">
            <w:pPr>
              <w:pStyle w:val="NoSpacing"/>
              <w:numPr>
                <w:ilvl w:val="0"/>
                <w:numId w:val="23"/>
              </w:numPr>
              <w:rPr>
                <w:rFonts w:ascii="Garamond" w:hAnsi="Garamond"/>
              </w:rPr>
            </w:pPr>
            <w:r w:rsidRPr="00471877">
              <w:rPr>
                <w:rFonts w:ascii="Garamond" w:hAnsi="Garamond"/>
              </w:rPr>
              <w:t xml:space="preserve">Impact of alternate revenue schemes for financing higher education in the FSM. </w:t>
            </w:r>
          </w:p>
          <w:p w:rsidR="00471877" w:rsidRPr="00471877" w:rsidRDefault="00471877" w:rsidP="00471877">
            <w:pPr>
              <w:pStyle w:val="NoSpacing"/>
              <w:numPr>
                <w:ilvl w:val="0"/>
                <w:numId w:val="23"/>
              </w:numPr>
              <w:rPr>
                <w:rFonts w:ascii="Garamond" w:hAnsi="Garamond"/>
              </w:rPr>
            </w:pPr>
            <w:r w:rsidRPr="00471877">
              <w:rPr>
                <w:rFonts w:ascii="Garamond" w:hAnsi="Garamond"/>
              </w:rPr>
              <w:t xml:space="preserve">Tracking of CTE revenue for training programs.  </w:t>
            </w:r>
          </w:p>
          <w:p w:rsidR="00471877" w:rsidRPr="00471877" w:rsidRDefault="00471877" w:rsidP="00471877">
            <w:pPr>
              <w:pStyle w:val="NoSpacing"/>
              <w:numPr>
                <w:ilvl w:val="0"/>
                <w:numId w:val="23"/>
              </w:numPr>
              <w:rPr>
                <w:rFonts w:ascii="Garamond" w:hAnsi="Garamond"/>
              </w:rPr>
            </w:pPr>
            <w:r w:rsidRPr="00471877">
              <w:rPr>
                <w:rFonts w:ascii="Garamond" w:hAnsi="Garamond"/>
              </w:rPr>
              <w:t xml:space="preserve">Amount, impact and analysis of cost benefit of grant programs for the college. </w:t>
            </w:r>
          </w:p>
          <w:p w:rsidR="00471877" w:rsidRPr="00471877" w:rsidRDefault="00471877" w:rsidP="00471877">
            <w:pPr>
              <w:pStyle w:val="NoSpacing"/>
              <w:numPr>
                <w:ilvl w:val="0"/>
                <w:numId w:val="23"/>
              </w:numPr>
              <w:rPr>
                <w:rFonts w:ascii="Garamond" w:hAnsi="Garamond"/>
              </w:rPr>
            </w:pPr>
            <w:r w:rsidRPr="00471877">
              <w:rPr>
                <w:rFonts w:ascii="Garamond" w:hAnsi="Garamond"/>
              </w:rPr>
              <w:t xml:space="preserve">Tracking revenue against budget projections.  </w:t>
            </w:r>
          </w:p>
          <w:p w:rsidR="00471877" w:rsidRPr="00471877" w:rsidRDefault="00471877" w:rsidP="00471877">
            <w:pPr>
              <w:pStyle w:val="NoSpacing"/>
              <w:numPr>
                <w:ilvl w:val="0"/>
                <w:numId w:val="23"/>
              </w:numPr>
              <w:rPr>
                <w:rFonts w:ascii="Garamond" w:hAnsi="Garamond"/>
              </w:rPr>
            </w:pPr>
            <w:r w:rsidRPr="00471877">
              <w:rPr>
                <w:rFonts w:ascii="Garamond" w:hAnsi="Garamond"/>
              </w:rPr>
              <w:t>Tracking allocation and expenditures against cost categories.</w:t>
            </w:r>
          </w:p>
          <w:p w:rsidR="00471877" w:rsidRPr="00471877" w:rsidRDefault="00471877" w:rsidP="00471877">
            <w:pPr>
              <w:pStyle w:val="NoSpacing"/>
              <w:numPr>
                <w:ilvl w:val="0"/>
                <w:numId w:val="23"/>
              </w:numPr>
              <w:rPr>
                <w:rFonts w:ascii="Garamond" w:hAnsi="Garamond"/>
              </w:rPr>
            </w:pPr>
            <w:r w:rsidRPr="00471877">
              <w:rPr>
                <w:rFonts w:ascii="Garamond" w:hAnsi="Garamond"/>
              </w:rPr>
              <w:t>Evidence of linkage of program review to resource allocation</w:t>
            </w:r>
          </w:p>
          <w:p w:rsidR="00471877" w:rsidRPr="00471877" w:rsidRDefault="00471877" w:rsidP="008C28AA">
            <w:pPr>
              <w:pStyle w:val="NoSpacing"/>
              <w:rPr>
                <w:rFonts w:ascii="Garamond" w:hAnsi="Garamond"/>
                <w:b/>
              </w:rPr>
            </w:pPr>
            <w:r w:rsidRPr="00471877">
              <w:rPr>
                <w:rFonts w:ascii="Garamond" w:hAnsi="Garamond"/>
                <w:b/>
              </w:rPr>
              <w:t>Other Institutional Effectiveness Measures</w:t>
            </w:r>
          </w:p>
          <w:p w:rsidR="00471877" w:rsidRPr="00471877" w:rsidRDefault="00471877" w:rsidP="00471877">
            <w:pPr>
              <w:pStyle w:val="NoSpacing"/>
              <w:numPr>
                <w:ilvl w:val="0"/>
                <w:numId w:val="20"/>
              </w:numPr>
              <w:rPr>
                <w:rFonts w:ascii="Garamond" w:hAnsi="Garamond"/>
              </w:rPr>
            </w:pPr>
            <w:r w:rsidRPr="00471877">
              <w:rPr>
                <w:rFonts w:ascii="Garamond" w:hAnsi="Garamond"/>
              </w:rPr>
              <w:t>Average credit section size</w:t>
            </w:r>
          </w:p>
          <w:p w:rsidR="00471877" w:rsidRPr="00471877" w:rsidRDefault="00471877" w:rsidP="00471877">
            <w:pPr>
              <w:pStyle w:val="NoSpacing"/>
              <w:numPr>
                <w:ilvl w:val="0"/>
                <w:numId w:val="20"/>
              </w:numPr>
              <w:rPr>
                <w:rFonts w:ascii="Garamond" w:hAnsi="Garamond"/>
              </w:rPr>
            </w:pPr>
            <w:r w:rsidRPr="00471877">
              <w:rPr>
                <w:rFonts w:ascii="Garamond" w:hAnsi="Garamond"/>
              </w:rPr>
              <w:t>Cost per credit hours and FTE students</w:t>
            </w:r>
          </w:p>
          <w:p w:rsidR="00471877" w:rsidRPr="00471877" w:rsidRDefault="00471877" w:rsidP="00471877">
            <w:pPr>
              <w:pStyle w:val="NoSpacing"/>
              <w:numPr>
                <w:ilvl w:val="0"/>
                <w:numId w:val="20"/>
              </w:numPr>
              <w:rPr>
                <w:rFonts w:ascii="Garamond" w:hAnsi="Garamond"/>
              </w:rPr>
            </w:pPr>
            <w:r w:rsidRPr="00471877">
              <w:rPr>
                <w:rFonts w:ascii="Garamond" w:hAnsi="Garamond"/>
              </w:rPr>
              <w:t>Student/faculty ratio</w:t>
            </w:r>
          </w:p>
          <w:p w:rsidR="00471877" w:rsidRPr="00471877" w:rsidRDefault="00471877" w:rsidP="00471877">
            <w:pPr>
              <w:pStyle w:val="NoSpacing"/>
              <w:numPr>
                <w:ilvl w:val="0"/>
                <w:numId w:val="20"/>
              </w:numPr>
              <w:rPr>
                <w:rFonts w:ascii="Garamond" w:hAnsi="Garamond"/>
              </w:rPr>
            </w:pPr>
            <w:r w:rsidRPr="00471877">
              <w:rPr>
                <w:rFonts w:ascii="Garamond" w:hAnsi="Garamond"/>
              </w:rPr>
              <w:t>Student/student services staff ratio</w:t>
            </w:r>
          </w:p>
          <w:p w:rsidR="00471877" w:rsidRPr="00471877" w:rsidRDefault="00471877" w:rsidP="00471877">
            <w:pPr>
              <w:pStyle w:val="NoSpacing"/>
              <w:numPr>
                <w:ilvl w:val="0"/>
                <w:numId w:val="20"/>
              </w:numPr>
              <w:rPr>
                <w:rFonts w:ascii="Garamond" w:hAnsi="Garamond"/>
              </w:rPr>
            </w:pPr>
            <w:r w:rsidRPr="00471877">
              <w:rPr>
                <w:rFonts w:ascii="Garamond" w:hAnsi="Garamond"/>
              </w:rPr>
              <w:t>Instructional faculty load</w:t>
            </w:r>
          </w:p>
          <w:p w:rsidR="00471877" w:rsidRPr="00471877" w:rsidRDefault="00471877" w:rsidP="00471877">
            <w:pPr>
              <w:pStyle w:val="NoSpacing"/>
              <w:numPr>
                <w:ilvl w:val="0"/>
                <w:numId w:val="20"/>
              </w:numPr>
              <w:rPr>
                <w:rFonts w:ascii="Garamond" w:hAnsi="Garamond"/>
              </w:rPr>
            </w:pPr>
            <w:r w:rsidRPr="00471877">
              <w:rPr>
                <w:rFonts w:ascii="Garamond" w:hAnsi="Garamond"/>
              </w:rPr>
              <w:t xml:space="preserve">Performance accounting of costs.  </w:t>
            </w:r>
          </w:p>
          <w:p w:rsidR="00471877" w:rsidRPr="00471877" w:rsidRDefault="00471877" w:rsidP="00471877">
            <w:pPr>
              <w:pStyle w:val="NoSpacing"/>
              <w:numPr>
                <w:ilvl w:val="0"/>
                <w:numId w:val="20"/>
              </w:numPr>
              <w:rPr>
                <w:rFonts w:ascii="Garamond" w:hAnsi="Garamond"/>
              </w:rPr>
            </w:pPr>
            <w:r w:rsidRPr="00471877">
              <w:rPr>
                <w:rFonts w:ascii="Garamond" w:hAnsi="Garamond"/>
              </w:rPr>
              <w:t xml:space="preserve">Comparing cost and impact of distance learning against regular instructional programs. </w:t>
            </w:r>
          </w:p>
          <w:p w:rsidR="00471877" w:rsidRPr="00471877" w:rsidRDefault="00471877" w:rsidP="00471877">
            <w:pPr>
              <w:pStyle w:val="NoSpacing"/>
              <w:numPr>
                <w:ilvl w:val="0"/>
                <w:numId w:val="20"/>
              </w:numPr>
              <w:rPr>
                <w:rFonts w:ascii="Garamond" w:hAnsi="Garamond"/>
              </w:rPr>
            </w:pPr>
            <w:r w:rsidRPr="00471877">
              <w:rPr>
                <w:rFonts w:ascii="Garamond" w:hAnsi="Garamond"/>
              </w:rPr>
              <w:t xml:space="preserve">Tracking Total Cost of Ownership for facilities and equipment.  </w:t>
            </w:r>
          </w:p>
          <w:p w:rsidR="00471877" w:rsidRPr="00471877" w:rsidRDefault="00471877" w:rsidP="00471877">
            <w:pPr>
              <w:pStyle w:val="NoSpacing"/>
              <w:numPr>
                <w:ilvl w:val="0"/>
                <w:numId w:val="20"/>
              </w:numPr>
              <w:rPr>
                <w:rFonts w:ascii="Garamond" w:hAnsi="Garamond"/>
              </w:rPr>
            </w:pPr>
            <w:r w:rsidRPr="00471877">
              <w:rPr>
                <w:rFonts w:ascii="Garamond" w:hAnsi="Garamond"/>
              </w:rPr>
              <w:t>Assessment of viability of college programs against National and State Plans and Needs</w:t>
            </w:r>
          </w:p>
          <w:p w:rsidR="00471877" w:rsidRPr="00471877" w:rsidRDefault="00471877" w:rsidP="008C28AA">
            <w:pPr>
              <w:pStyle w:val="NoSpacing"/>
              <w:rPr>
                <w:rFonts w:ascii="Garamond" w:hAnsi="Garamond"/>
              </w:rPr>
            </w:pPr>
          </w:p>
        </w:tc>
      </w:tr>
    </w:tbl>
    <w:p w:rsidR="00471877" w:rsidRPr="00471877" w:rsidRDefault="00471877" w:rsidP="00471877">
      <w:pPr>
        <w:spacing w:before="100" w:beforeAutospacing="1"/>
        <w:rPr>
          <w:rFonts w:ascii="Garamond" w:hAnsi="Garamond" w:cs="Times New Roman"/>
          <w:color w:val="000000"/>
        </w:rPr>
      </w:pPr>
    </w:p>
    <w:p w:rsidR="00C8418A" w:rsidRPr="00C8418A" w:rsidRDefault="00C8418A" w:rsidP="00C8418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Invest in and build a strong capacity in human capital</w:t>
      </w:r>
    </w:p>
    <w:p w:rsid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support and strengthen faculty, staff, and administrators through establishment of aspirational goals for credentialing and funding professional development and building upon organizational and leadership capacity.</w:t>
      </w:r>
    </w:p>
    <w:p w:rsidR="000A0E21" w:rsidRDefault="000A0E21" w:rsidP="000A0E21">
      <w:pPr>
        <w:spacing w:before="100" w:beforeAutospacing="1"/>
        <w:rPr>
          <w:rFonts w:ascii="Garamond" w:hAnsi="Garamond" w:cs="Times New Roman"/>
          <w:color w:val="000000"/>
        </w:rPr>
      </w:pPr>
    </w:p>
    <w:tbl>
      <w:tblPr>
        <w:tblStyle w:val="TableGrid"/>
        <w:tblW w:w="0" w:type="auto"/>
        <w:tblLook w:val="04A0"/>
      </w:tblPr>
      <w:tblGrid>
        <w:gridCol w:w="8856"/>
      </w:tblGrid>
      <w:tr w:rsidR="000A0E21">
        <w:tc>
          <w:tcPr>
            <w:tcW w:w="8856" w:type="dxa"/>
            <w:shd w:val="clear" w:color="auto" w:fill="E6E6E6"/>
          </w:tcPr>
          <w:p w:rsidR="000A0E21" w:rsidRPr="000A4AA0" w:rsidRDefault="000A0E21" w:rsidP="000A4AA0">
            <w:pPr>
              <w:spacing w:before="100" w:beforeAutospacing="1"/>
              <w:rPr>
                <w:rFonts w:ascii="Garamond" w:hAnsi="Garamond" w:cs="Times New Roman"/>
                <w:color w:val="000000"/>
              </w:rPr>
            </w:pPr>
            <w:r>
              <w:rPr>
                <w:rFonts w:ascii="Garamond" w:hAnsi="Garamond" w:cs="Times New Roman"/>
                <w:color w:val="000000"/>
              </w:rPr>
              <w:t xml:space="preserve">Strategic Plan Goal 4.1: </w:t>
            </w:r>
            <w:r w:rsidR="000A4AA0">
              <w:rPr>
                <w:rFonts w:ascii="Garamond" w:hAnsi="Garamond" w:cs="Times New Roman"/>
                <w:color w:val="000000"/>
              </w:rPr>
              <w:t>Supporting and strengthening faculty, staff, and administrators by establishing aspirational goals for credentialing.</w:t>
            </w:r>
          </w:p>
        </w:tc>
      </w:tr>
    </w:tbl>
    <w:p w:rsidR="000A0E21" w:rsidRDefault="000A0E21" w:rsidP="000A0E21">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0A0E21" w:rsidRDefault="00CB5448" w:rsidP="000115E3">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Credentials</w:t>
      </w:r>
      <w:r w:rsidR="002F1428">
        <w:rPr>
          <w:rFonts w:ascii="Garamond" w:hAnsi="Garamond" w:cs="Times New Roman"/>
          <w:color w:val="000000"/>
        </w:rPr>
        <w:t>/degrees/professional designations</w:t>
      </w:r>
    </w:p>
    <w:p w:rsidR="00CB5448" w:rsidRDefault="00CB5448" w:rsidP="000115E3">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Professional memberships/affiliations</w:t>
      </w:r>
    </w:p>
    <w:p w:rsidR="00CB5448" w:rsidRDefault="00CB5448" w:rsidP="000115E3">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Aspirational goals</w:t>
      </w:r>
    </w:p>
    <w:p w:rsidR="00DF0313" w:rsidRDefault="00DF0313" w:rsidP="000115E3">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CCSSE</w:t>
      </w:r>
    </w:p>
    <w:p w:rsidR="00EA7E08" w:rsidRPr="00EA7E08" w:rsidRDefault="00DF0313" w:rsidP="00EA7E08">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Professional contributions</w:t>
      </w:r>
      <w:r w:rsidR="00EA7E08">
        <w:rPr>
          <w:rFonts w:ascii="Garamond" w:hAnsi="Garamond" w:cs="Times New Roman"/>
          <w:color w:val="000000"/>
        </w:rPr>
        <w:t xml:space="preserve"> (publications, presentations, committee service, etc.)</w:t>
      </w:r>
    </w:p>
    <w:p w:rsidR="00471877" w:rsidRDefault="00471877" w:rsidP="00471877">
      <w:pPr>
        <w:spacing w:before="100" w:beforeAutospacing="1"/>
        <w:rPr>
          <w:rFonts w:ascii="Garamond" w:hAnsi="Garamond" w:cs="Times New Roman"/>
          <w:color w:val="1F497D" w:themeColor="text2"/>
        </w:rPr>
      </w:pPr>
    </w:p>
    <w:tbl>
      <w:tblPr>
        <w:tblStyle w:val="TableGrid"/>
        <w:tblW w:w="0" w:type="auto"/>
        <w:tblLook w:val="04A0"/>
      </w:tblPr>
      <w:tblGrid>
        <w:gridCol w:w="4258"/>
        <w:gridCol w:w="4258"/>
      </w:tblGrid>
      <w:tr w:rsidR="00471877">
        <w:tc>
          <w:tcPr>
            <w:tcW w:w="4258" w:type="dxa"/>
          </w:tcPr>
          <w:p w:rsidR="00471877" w:rsidRPr="00471877" w:rsidRDefault="00471877" w:rsidP="008C28AA">
            <w:pPr>
              <w:spacing w:before="100" w:beforeAutospacing="1"/>
              <w:rPr>
                <w:rFonts w:ascii="Garamond" w:hAnsi="Garamond" w:cs="Times New Roman"/>
                <w:color w:val="1F497D" w:themeColor="text2"/>
              </w:rPr>
            </w:pPr>
            <w:r w:rsidRPr="00471877">
              <w:rPr>
                <w:rFonts w:ascii="Garamond" w:hAnsi="Garamond" w:cs="Times New Roman"/>
                <w:color w:val="1F497D" w:themeColor="text2"/>
              </w:rPr>
              <w:t>Original</w:t>
            </w:r>
          </w:p>
        </w:tc>
        <w:tc>
          <w:tcPr>
            <w:tcW w:w="4258" w:type="dxa"/>
          </w:tcPr>
          <w:p w:rsidR="00471877" w:rsidRPr="00471877" w:rsidRDefault="00471877" w:rsidP="008C28AA">
            <w:pPr>
              <w:spacing w:before="100" w:beforeAutospacing="1"/>
              <w:rPr>
                <w:rFonts w:ascii="Garamond" w:hAnsi="Garamond" w:cs="Times New Roman"/>
                <w:color w:val="1F497D" w:themeColor="text2"/>
              </w:rPr>
            </w:pPr>
            <w:r w:rsidRPr="00471877">
              <w:rPr>
                <w:rFonts w:ascii="Garamond" w:hAnsi="Garamond" w:cs="Times New Roman"/>
                <w:color w:val="1F497D" w:themeColor="text2"/>
              </w:rPr>
              <w:t>Suggested</w:t>
            </w:r>
          </w:p>
        </w:tc>
      </w:tr>
      <w:tr w:rsidR="00471877">
        <w:tc>
          <w:tcPr>
            <w:tcW w:w="4258" w:type="dxa"/>
          </w:tcPr>
          <w:p w:rsidR="00471877" w:rsidRPr="00471877" w:rsidRDefault="00471877" w:rsidP="00471877">
            <w:pPr>
              <w:pStyle w:val="ListParagraph"/>
              <w:numPr>
                <w:ilvl w:val="0"/>
                <w:numId w:val="12"/>
              </w:numPr>
              <w:spacing w:before="100" w:beforeAutospacing="1"/>
              <w:rPr>
                <w:rFonts w:ascii="Garamond" w:hAnsi="Garamond" w:cs="Times New Roman"/>
                <w:color w:val="000000"/>
              </w:rPr>
            </w:pPr>
            <w:r w:rsidRPr="00471877">
              <w:rPr>
                <w:rFonts w:ascii="Garamond" w:hAnsi="Garamond" w:cs="Times New Roman"/>
                <w:color w:val="000000"/>
              </w:rPr>
              <w:t>Credentials/degrees/professional designations</w:t>
            </w:r>
          </w:p>
          <w:p w:rsidR="00471877" w:rsidRPr="00471877" w:rsidRDefault="00471877" w:rsidP="00471877">
            <w:pPr>
              <w:pStyle w:val="ListParagraph"/>
              <w:numPr>
                <w:ilvl w:val="0"/>
                <w:numId w:val="12"/>
              </w:numPr>
              <w:spacing w:before="100" w:beforeAutospacing="1"/>
              <w:rPr>
                <w:rFonts w:ascii="Garamond" w:hAnsi="Garamond" w:cs="Times New Roman"/>
                <w:color w:val="000000"/>
              </w:rPr>
            </w:pPr>
            <w:r w:rsidRPr="00471877">
              <w:rPr>
                <w:rFonts w:ascii="Garamond" w:hAnsi="Garamond" w:cs="Times New Roman"/>
                <w:color w:val="000000"/>
              </w:rPr>
              <w:t>Professional memberships/affiliations</w:t>
            </w:r>
          </w:p>
          <w:p w:rsidR="00471877" w:rsidRPr="00471877" w:rsidRDefault="00471877" w:rsidP="00471877">
            <w:pPr>
              <w:pStyle w:val="ListParagraph"/>
              <w:numPr>
                <w:ilvl w:val="0"/>
                <w:numId w:val="12"/>
              </w:numPr>
              <w:spacing w:before="100" w:beforeAutospacing="1"/>
              <w:rPr>
                <w:rFonts w:ascii="Garamond" w:hAnsi="Garamond" w:cs="Times New Roman"/>
                <w:color w:val="000000"/>
              </w:rPr>
            </w:pPr>
            <w:r w:rsidRPr="00471877">
              <w:rPr>
                <w:rFonts w:ascii="Garamond" w:hAnsi="Garamond" w:cs="Times New Roman"/>
                <w:color w:val="000000"/>
              </w:rPr>
              <w:t>Aspirational goals</w:t>
            </w:r>
          </w:p>
          <w:p w:rsidR="00471877" w:rsidRPr="00471877" w:rsidRDefault="00471877" w:rsidP="00471877">
            <w:pPr>
              <w:pStyle w:val="ListParagraph"/>
              <w:numPr>
                <w:ilvl w:val="0"/>
                <w:numId w:val="12"/>
              </w:numPr>
              <w:spacing w:before="100" w:beforeAutospacing="1"/>
              <w:rPr>
                <w:rFonts w:ascii="Garamond" w:hAnsi="Garamond" w:cs="Times New Roman"/>
                <w:color w:val="000000"/>
              </w:rPr>
            </w:pPr>
            <w:r w:rsidRPr="00471877">
              <w:rPr>
                <w:rFonts w:ascii="Garamond" w:hAnsi="Garamond" w:cs="Times New Roman"/>
                <w:color w:val="000000"/>
              </w:rPr>
              <w:t>CCSSE</w:t>
            </w:r>
          </w:p>
          <w:p w:rsidR="00471877" w:rsidRPr="00471877" w:rsidRDefault="00471877" w:rsidP="00471877">
            <w:pPr>
              <w:pStyle w:val="ListParagraph"/>
              <w:numPr>
                <w:ilvl w:val="0"/>
                <w:numId w:val="12"/>
              </w:numPr>
              <w:spacing w:before="100" w:beforeAutospacing="1"/>
              <w:rPr>
                <w:rFonts w:ascii="Garamond" w:hAnsi="Garamond" w:cs="Times New Roman"/>
                <w:color w:val="000000"/>
              </w:rPr>
            </w:pPr>
            <w:r w:rsidRPr="00471877">
              <w:rPr>
                <w:rFonts w:ascii="Garamond" w:hAnsi="Garamond" w:cs="Times New Roman"/>
                <w:color w:val="000000"/>
              </w:rPr>
              <w:t>Professional contributions (publications, presentations, committee service, etc.)</w:t>
            </w:r>
          </w:p>
          <w:p w:rsidR="00471877" w:rsidRPr="00471877" w:rsidRDefault="00471877" w:rsidP="008C28AA">
            <w:pPr>
              <w:spacing w:before="100" w:beforeAutospacing="1"/>
              <w:rPr>
                <w:rFonts w:ascii="Garamond" w:hAnsi="Garamond" w:cs="Times New Roman"/>
                <w:color w:val="1F497D" w:themeColor="text2"/>
              </w:rPr>
            </w:pPr>
          </w:p>
        </w:tc>
        <w:tc>
          <w:tcPr>
            <w:tcW w:w="4258" w:type="dxa"/>
          </w:tcPr>
          <w:p w:rsidR="00471877" w:rsidRPr="00471877" w:rsidRDefault="00471877" w:rsidP="00471877">
            <w:pPr>
              <w:pStyle w:val="ListParagraph"/>
              <w:numPr>
                <w:ilvl w:val="0"/>
                <w:numId w:val="12"/>
              </w:numPr>
              <w:spacing w:before="100" w:beforeAutospacing="1"/>
              <w:ind w:left="459"/>
              <w:rPr>
                <w:rFonts w:ascii="Garamond" w:hAnsi="Garamond" w:cs="Times New Roman"/>
              </w:rPr>
            </w:pPr>
            <w:r w:rsidRPr="00471877">
              <w:rPr>
                <w:rFonts w:ascii="Garamond" w:hAnsi="Garamond" w:cs="Times New Roman"/>
              </w:rPr>
              <w:t>Tracking of faculty and staff credentials.</w:t>
            </w:r>
          </w:p>
          <w:p w:rsidR="00471877" w:rsidRPr="00471877" w:rsidRDefault="00471877" w:rsidP="00471877">
            <w:pPr>
              <w:pStyle w:val="ListParagraph"/>
              <w:numPr>
                <w:ilvl w:val="0"/>
                <w:numId w:val="12"/>
              </w:numPr>
              <w:spacing w:before="100" w:beforeAutospacing="1"/>
              <w:ind w:left="459"/>
              <w:rPr>
                <w:rFonts w:ascii="Garamond" w:hAnsi="Garamond" w:cs="Times New Roman"/>
              </w:rPr>
            </w:pPr>
            <w:r w:rsidRPr="00471877">
              <w:rPr>
                <w:rFonts w:ascii="Garamond" w:hAnsi="Garamond" w:cs="Times New Roman"/>
              </w:rPr>
              <w:t xml:space="preserve">Tracking of faculty and staff professional memberships and affiliations.  </w:t>
            </w:r>
          </w:p>
          <w:p w:rsidR="00471877" w:rsidRPr="00471877" w:rsidRDefault="00471877" w:rsidP="00471877">
            <w:pPr>
              <w:pStyle w:val="ListParagraph"/>
              <w:numPr>
                <w:ilvl w:val="0"/>
                <w:numId w:val="12"/>
              </w:numPr>
              <w:spacing w:before="100" w:beforeAutospacing="1"/>
              <w:ind w:left="459"/>
              <w:rPr>
                <w:rFonts w:ascii="Garamond" w:hAnsi="Garamond" w:cs="Times New Roman"/>
              </w:rPr>
            </w:pPr>
            <w:r w:rsidRPr="00471877">
              <w:rPr>
                <w:rFonts w:ascii="Garamond" w:hAnsi="Garamond" w:cs="Times New Roman"/>
              </w:rPr>
              <w:t>Diversity of faculty and staff</w:t>
            </w:r>
          </w:p>
          <w:p w:rsidR="00471877" w:rsidRPr="00471877" w:rsidRDefault="00471877" w:rsidP="00471877">
            <w:pPr>
              <w:pStyle w:val="ListParagraph"/>
              <w:numPr>
                <w:ilvl w:val="0"/>
                <w:numId w:val="12"/>
              </w:numPr>
              <w:spacing w:before="100" w:beforeAutospacing="1"/>
              <w:ind w:left="459"/>
              <w:rPr>
                <w:rFonts w:ascii="Garamond" w:hAnsi="Garamond" w:cs="Times New Roman"/>
              </w:rPr>
            </w:pPr>
            <w:r w:rsidRPr="00471877">
              <w:rPr>
                <w:rFonts w:ascii="Garamond" w:hAnsi="Garamond" w:cs="Times New Roman"/>
              </w:rPr>
              <w:t>Employee turnover for faculty and staff</w:t>
            </w:r>
          </w:p>
          <w:p w:rsidR="00471877" w:rsidRPr="00471877" w:rsidRDefault="00471877" w:rsidP="00471877">
            <w:pPr>
              <w:pStyle w:val="ListParagraph"/>
              <w:numPr>
                <w:ilvl w:val="0"/>
                <w:numId w:val="12"/>
              </w:numPr>
              <w:spacing w:before="100" w:beforeAutospacing="1"/>
              <w:ind w:left="459"/>
              <w:rPr>
                <w:rFonts w:ascii="Garamond" w:hAnsi="Garamond" w:cs="Times New Roman"/>
              </w:rPr>
            </w:pPr>
            <w:r w:rsidRPr="00471877">
              <w:rPr>
                <w:rFonts w:ascii="Garamond" w:hAnsi="Garamond" w:cs="Times New Roman"/>
              </w:rPr>
              <w:t>Percent of filled positions for the college</w:t>
            </w:r>
          </w:p>
          <w:p w:rsidR="00471877" w:rsidRPr="00471877" w:rsidRDefault="00471877" w:rsidP="00471877">
            <w:pPr>
              <w:pStyle w:val="ListParagraph"/>
              <w:numPr>
                <w:ilvl w:val="0"/>
                <w:numId w:val="12"/>
              </w:numPr>
              <w:spacing w:before="100" w:beforeAutospacing="1"/>
              <w:ind w:left="459"/>
              <w:rPr>
                <w:rFonts w:ascii="Garamond" w:hAnsi="Garamond" w:cs="Times New Roman"/>
              </w:rPr>
            </w:pPr>
            <w:r w:rsidRPr="00471877">
              <w:rPr>
                <w:rFonts w:ascii="Garamond" w:hAnsi="Garamond" w:cs="Times New Roman"/>
              </w:rPr>
              <w:t>Tracking professional contributions (publications, presentations, committee service, etc.)</w:t>
            </w:r>
          </w:p>
          <w:p w:rsidR="00471877" w:rsidRPr="00471877" w:rsidRDefault="00471877" w:rsidP="00471877">
            <w:pPr>
              <w:pStyle w:val="ListParagraph"/>
              <w:numPr>
                <w:ilvl w:val="0"/>
                <w:numId w:val="12"/>
              </w:numPr>
              <w:spacing w:before="100" w:beforeAutospacing="1"/>
              <w:ind w:left="459"/>
              <w:rPr>
                <w:rFonts w:ascii="Garamond" w:hAnsi="Garamond" w:cs="Times New Roman"/>
              </w:rPr>
            </w:pPr>
            <w:r w:rsidRPr="00471877">
              <w:rPr>
                <w:rFonts w:ascii="Garamond" w:hAnsi="Garamond" w:cs="Times New Roman"/>
              </w:rPr>
              <w:t xml:space="preserve">Satisfaction rates for programs.  </w:t>
            </w:r>
          </w:p>
        </w:tc>
      </w:tr>
    </w:tbl>
    <w:p w:rsidR="00471877" w:rsidRDefault="00471877" w:rsidP="000A4AA0">
      <w:pPr>
        <w:spacing w:before="100" w:beforeAutospacing="1"/>
        <w:rPr>
          <w:rFonts w:ascii="Garamond" w:hAnsi="Garamond" w:cs="Times New Roman"/>
          <w:color w:val="000000"/>
        </w:rPr>
      </w:pPr>
    </w:p>
    <w:tbl>
      <w:tblPr>
        <w:tblStyle w:val="TableGrid"/>
        <w:tblW w:w="0" w:type="auto"/>
        <w:tblLook w:val="04A0"/>
      </w:tblPr>
      <w:tblGrid>
        <w:gridCol w:w="8856"/>
      </w:tblGrid>
      <w:tr w:rsidR="000A4AA0">
        <w:tc>
          <w:tcPr>
            <w:tcW w:w="8856" w:type="dxa"/>
            <w:shd w:val="clear" w:color="auto" w:fill="E6E6E6"/>
          </w:tcPr>
          <w:p w:rsidR="000A4AA0" w:rsidRDefault="000A4AA0" w:rsidP="000A4AA0">
            <w:pPr>
              <w:spacing w:before="100" w:beforeAutospacing="1"/>
              <w:rPr>
                <w:rFonts w:ascii="Garamond" w:hAnsi="Garamond" w:cs="Times New Roman"/>
                <w:color w:val="000000"/>
              </w:rPr>
            </w:pPr>
            <w:r>
              <w:rPr>
                <w:rFonts w:ascii="Garamond" w:hAnsi="Garamond" w:cs="Times New Roman"/>
                <w:color w:val="000000"/>
              </w:rPr>
              <w:t xml:space="preserve">Strategic Plan Goal 4.2: </w:t>
            </w:r>
            <w:r w:rsidR="00D607F0">
              <w:rPr>
                <w:rFonts w:ascii="Garamond" w:hAnsi="Garamond" w:cs="Times New Roman"/>
                <w:color w:val="000000"/>
              </w:rPr>
              <w:t>Support</w:t>
            </w:r>
            <w:r>
              <w:rPr>
                <w:rFonts w:ascii="Garamond" w:hAnsi="Garamond" w:cs="Times New Roman"/>
                <w:color w:val="000000"/>
              </w:rPr>
              <w:t xml:space="preserve"> professional development that builds upon organizational and leadership capacity by;</w:t>
            </w:r>
          </w:p>
          <w:p w:rsidR="000A4AA0" w:rsidRDefault="00257519" w:rsidP="000A4AA0">
            <w:pPr>
              <w:pStyle w:val="ListParagraph"/>
              <w:numPr>
                <w:ilvl w:val="0"/>
                <w:numId w:val="11"/>
              </w:numPr>
              <w:spacing w:before="100" w:beforeAutospacing="1"/>
              <w:rPr>
                <w:rFonts w:ascii="Garamond" w:hAnsi="Garamond" w:cs="Times New Roman"/>
                <w:color w:val="000000"/>
              </w:rPr>
            </w:pPr>
            <w:r>
              <w:rPr>
                <w:rFonts w:ascii="Garamond" w:hAnsi="Garamond" w:cs="Times New Roman"/>
                <w:color w:val="000000"/>
              </w:rPr>
              <w:t>Assessing organizational and leadership capacity needs;</w:t>
            </w:r>
          </w:p>
          <w:p w:rsidR="00257519" w:rsidRDefault="00257519" w:rsidP="000A4AA0">
            <w:pPr>
              <w:pStyle w:val="ListParagraph"/>
              <w:numPr>
                <w:ilvl w:val="0"/>
                <w:numId w:val="11"/>
              </w:numPr>
              <w:spacing w:before="100" w:beforeAutospacing="1"/>
              <w:rPr>
                <w:rFonts w:ascii="Garamond" w:hAnsi="Garamond" w:cs="Times New Roman"/>
                <w:color w:val="000000"/>
              </w:rPr>
            </w:pPr>
            <w:r>
              <w:rPr>
                <w:rFonts w:ascii="Garamond" w:hAnsi="Garamond" w:cs="Times New Roman"/>
                <w:color w:val="000000"/>
              </w:rPr>
              <w:t>Prioritizing identified organizational and leadership capacity needs;</w:t>
            </w:r>
          </w:p>
          <w:p w:rsidR="00257519" w:rsidRDefault="00D65F14" w:rsidP="000A4AA0">
            <w:pPr>
              <w:pStyle w:val="ListParagraph"/>
              <w:numPr>
                <w:ilvl w:val="0"/>
                <w:numId w:val="11"/>
              </w:numPr>
              <w:spacing w:before="100" w:beforeAutospacing="1"/>
              <w:rPr>
                <w:rFonts w:ascii="Garamond" w:hAnsi="Garamond" w:cs="Times New Roman"/>
                <w:color w:val="000000"/>
              </w:rPr>
            </w:pPr>
            <w:r>
              <w:rPr>
                <w:rFonts w:ascii="Garamond" w:hAnsi="Garamond" w:cs="Times New Roman"/>
                <w:color w:val="000000"/>
              </w:rPr>
              <w:t>A</w:t>
            </w:r>
            <w:r w:rsidR="00257519">
              <w:rPr>
                <w:rFonts w:ascii="Garamond" w:hAnsi="Garamond" w:cs="Times New Roman"/>
                <w:color w:val="000000"/>
              </w:rPr>
              <w:t>ddress</w:t>
            </w:r>
            <w:r>
              <w:rPr>
                <w:rFonts w:ascii="Garamond" w:hAnsi="Garamond" w:cs="Times New Roman"/>
                <w:color w:val="000000"/>
              </w:rPr>
              <w:t>ing</w:t>
            </w:r>
            <w:r w:rsidR="00257519">
              <w:rPr>
                <w:rFonts w:ascii="Garamond" w:hAnsi="Garamond" w:cs="Times New Roman"/>
                <w:color w:val="000000"/>
              </w:rPr>
              <w:t xml:space="preserve"> identified capacity needs;</w:t>
            </w:r>
            <w:r w:rsidR="00FF6728">
              <w:rPr>
                <w:rFonts w:ascii="Garamond" w:hAnsi="Garamond" w:cs="Times New Roman"/>
                <w:color w:val="000000"/>
              </w:rPr>
              <w:t xml:space="preserve"> and</w:t>
            </w:r>
          </w:p>
          <w:p w:rsidR="000115E3" w:rsidRPr="00D65F14" w:rsidRDefault="00257519" w:rsidP="00D65F14">
            <w:pPr>
              <w:pStyle w:val="ListParagraph"/>
              <w:numPr>
                <w:ilvl w:val="0"/>
                <w:numId w:val="11"/>
              </w:numPr>
              <w:spacing w:before="100" w:beforeAutospacing="1"/>
              <w:rPr>
                <w:rFonts w:ascii="Garamond" w:hAnsi="Garamond" w:cs="Times New Roman"/>
                <w:color w:val="000000"/>
              </w:rPr>
            </w:pPr>
            <w:r>
              <w:rPr>
                <w:rFonts w:ascii="Garamond" w:hAnsi="Garamond" w:cs="Times New Roman"/>
                <w:color w:val="000000"/>
              </w:rPr>
              <w:t xml:space="preserve">Allocating resources to support capacity building </w:t>
            </w:r>
            <w:r w:rsidR="00D65F14">
              <w:rPr>
                <w:rFonts w:ascii="Garamond" w:hAnsi="Garamond" w:cs="Times New Roman"/>
                <w:color w:val="000000"/>
              </w:rPr>
              <w:t>with implementation.</w:t>
            </w:r>
          </w:p>
        </w:tc>
      </w:tr>
    </w:tbl>
    <w:p w:rsidR="000A4AA0" w:rsidRDefault="000A4AA0" w:rsidP="000A4AA0">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0A4AA0" w:rsidRPr="000115E3" w:rsidRDefault="000115E3" w:rsidP="000115E3">
      <w:pPr>
        <w:pStyle w:val="ListParagraph"/>
        <w:numPr>
          <w:ilvl w:val="0"/>
          <w:numId w:val="13"/>
        </w:numPr>
        <w:spacing w:before="100" w:beforeAutospacing="1"/>
        <w:rPr>
          <w:rFonts w:ascii="Garamond" w:hAnsi="Garamond" w:cs="Times New Roman"/>
          <w:color w:val="000000"/>
        </w:rPr>
      </w:pPr>
      <w:r>
        <w:rPr>
          <w:rFonts w:ascii="Garamond" w:hAnsi="Garamond" w:cs="Times New Roman"/>
        </w:rPr>
        <w:t>Capacity needs assessment</w:t>
      </w:r>
    </w:p>
    <w:p w:rsidR="000115E3" w:rsidRPr="000115E3" w:rsidRDefault="000115E3" w:rsidP="000115E3">
      <w:pPr>
        <w:pStyle w:val="ListParagraph"/>
        <w:numPr>
          <w:ilvl w:val="0"/>
          <w:numId w:val="13"/>
        </w:numPr>
        <w:spacing w:before="100" w:beforeAutospacing="1"/>
        <w:rPr>
          <w:rFonts w:ascii="Garamond" w:hAnsi="Garamond" w:cs="Times New Roman"/>
          <w:color w:val="000000"/>
        </w:rPr>
      </w:pPr>
      <w:r>
        <w:rPr>
          <w:rFonts w:ascii="Garamond" w:hAnsi="Garamond" w:cs="Times New Roman"/>
        </w:rPr>
        <w:t>Prioritization of capacity needs</w:t>
      </w:r>
    </w:p>
    <w:p w:rsidR="000115E3" w:rsidRPr="000115E3" w:rsidRDefault="004D6714" w:rsidP="000115E3">
      <w:pPr>
        <w:pStyle w:val="ListParagraph"/>
        <w:numPr>
          <w:ilvl w:val="0"/>
          <w:numId w:val="13"/>
        </w:numPr>
        <w:spacing w:before="100" w:beforeAutospacing="1"/>
        <w:rPr>
          <w:rFonts w:ascii="Garamond" w:hAnsi="Garamond" w:cs="Times New Roman"/>
          <w:color w:val="000000"/>
        </w:rPr>
      </w:pPr>
      <w:r>
        <w:rPr>
          <w:rFonts w:ascii="Garamond" w:hAnsi="Garamond" w:cs="Times New Roman"/>
        </w:rPr>
        <w:t>Identified capacity needs</w:t>
      </w:r>
      <w:r w:rsidR="000115E3">
        <w:rPr>
          <w:rFonts w:ascii="Garamond" w:hAnsi="Garamond" w:cs="Times New Roman"/>
        </w:rPr>
        <w:t xml:space="preserve"> with resource allocation</w:t>
      </w:r>
    </w:p>
    <w:p w:rsidR="000115E3" w:rsidRDefault="00D65F14" w:rsidP="000115E3">
      <w:pPr>
        <w:pStyle w:val="ListParagraph"/>
        <w:numPr>
          <w:ilvl w:val="0"/>
          <w:numId w:val="13"/>
        </w:numPr>
        <w:spacing w:before="100" w:beforeAutospacing="1"/>
        <w:rPr>
          <w:rFonts w:ascii="Garamond" w:hAnsi="Garamond" w:cs="Times New Roman"/>
          <w:color w:val="000000"/>
        </w:rPr>
      </w:pPr>
      <w:r>
        <w:rPr>
          <w:rFonts w:ascii="Garamond" w:hAnsi="Garamond" w:cs="Times New Roman"/>
          <w:color w:val="000000"/>
        </w:rPr>
        <w:t>Assessment of impact</w:t>
      </w:r>
    </w:p>
    <w:p w:rsidR="00D607F0" w:rsidRDefault="00D607F0" w:rsidP="000115E3">
      <w:pPr>
        <w:pStyle w:val="ListParagraph"/>
        <w:numPr>
          <w:ilvl w:val="0"/>
          <w:numId w:val="13"/>
        </w:numPr>
        <w:spacing w:before="100" w:beforeAutospacing="1"/>
        <w:rPr>
          <w:rFonts w:ascii="Garamond" w:hAnsi="Garamond" w:cs="Times New Roman"/>
          <w:color w:val="000000"/>
        </w:rPr>
      </w:pPr>
      <w:r>
        <w:rPr>
          <w:rFonts w:ascii="Garamond" w:hAnsi="Garamond" w:cs="Times New Roman"/>
          <w:color w:val="000000"/>
        </w:rPr>
        <w:t>Professional development</w:t>
      </w:r>
      <w:r w:rsidR="0001453F">
        <w:rPr>
          <w:rFonts w:ascii="Garamond" w:hAnsi="Garamond" w:cs="Times New Roman"/>
          <w:color w:val="000000"/>
        </w:rPr>
        <w:t xml:space="preserve"> achievements</w:t>
      </w:r>
    </w:p>
    <w:p w:rsidR="004D6714" w:rsidRDefault="004D6714" w:rsidP="000115E3">
      <w:pPr>
        <w:pStyle w:val="ListParagraph"/>
        <w:numPr>
          <w:ilvl w:val="0"/>
          <w:numId w:val="13"/>
        </w:numPr>
        <w:spacing w:before="100" w:beforeAutospacing="1"/>
        <w:rPr>
          <w:rFonts w:ascii="Garamond" w:hAnsi="Garamond" w:cs="Times New Roman"/>
          <w:color w:val="000000"/>
        </w:rPr>
      </w:pPr>
      <w:r>
        <w:rPr>
          <w:rFonts w:ascii="Garamond" w:hAnsi="Garamond" w:cs="Times New Roman"/>
          <w:color w:val="000000"/>
        </w:rPr>
        <w:t>Meeting accreditation standards</w:t>
      </w:r>
    </w:p>
    <w:p w:rsidR="000A0E21" w:rsidRDefault="0001453F" w:rsidP="00C8418A">
      <w:pPr>
        <w:pStyle w:val="ListParagraph"/>
        <w:numPr>
          <w:ilvl w:val="0"/>
          <w:numId w:val="13"/>
        </w:numPr>
        <w:spacing w:before="100" w:beforeAutospacing="1"/>
        <w:rPr>
          <w:rFonts w:ascii="Garamond" w:hAnsi="Garamond" w:cs="Times New Roman"/>
          <w:color w:val="000000"/>
        </w:rPr>
      </w:pPr>
      <w:r>
        <w:rPr>
          <w:rFonts w:ascii="Garamond" w:hAnsi="Garamond" w:cs="Times New Roman"/>
          <w:color w:val="000000"/>
        </w:rPr>
        <w:t>Consultant use for technical assistance and special projects</w:t>
      </w:r>
    </w:p>
    <w:p w:rsidR="008C28AA" w:rsidRDefault="008C28AA" w:rsidP="008C28AA">
      <w:pPr>
        <w:spacing w:before="100" w:beforeAutospacing="1"/>
        <w:rPr>
          <w:rFonts w:ascii="Garamond" w:hAnsi="Garamond" w:cs="Times New Roman"/>
          <w:color w:val="1F497D" w:themeColor="text2"/>
        </w:rPr>
      </w:pPr>
    </w:p>
    <w:tbl>
      <w:tblPr>
        <w:tblStyle w:val="TableGrid"/>
        <w:tblW w:w="0" w:type="auto"/>
        <w:tblLook w:val="04A0"/>
      </w:tblPr>
      <w:tblGrid>
        <w:gridCol w:w="4338"/>
        <w:gridCol w:w="4178"/>
      </w:tblGrid>
      <w:tr w:rsidR="008C28AA">
        <w:tc>
          <w:tcPr>
            <w:tcW w:w="4338" w:type="dxa"/>
          </w:tcPr>
          <w:p w:rsidR="008C28AA" w:rsidRPr="00764735" w:rsidRDefault="008C28AA"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Original</w:t>
            </w:r>
          </w:p>
        </w:tc>
        <w:tc>
          <w:tcPr>
            <w:tcW w:w="4178" w:type="dxa"/>
          </w:tcPr>
          <w:p w:rsidR="008C28AA" w:rsidRPr="00764735" w:rsidRDefault="008C28AA"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Suggested</w:t>
            </w:r>
          </w:p>
        </w:tc>
      </w:tr>
      <w:tr w:rsidR="008C28AA">
        <w:tc>
          <w:tcPr>
            <w:tcW w:w="4338" w:type="dxa"/>
          </w:tcPr>
          <w:p w:rsidR="008C28AA" w:rsidRPr="008C28AA" w:rsidRDefault="008C28AA" w:rsidP="008C28AA">
            <w:pPr>
              <w:pStyle w:val="ListParagraph"/>
              <w:numPr>
                <w:ilvl w:val="0"/>
                <w:numId w:val="13"/>
              </w:numPr>
              <w:spacing w:before="100" w:beforeAutospacing="1"/>
              <w:rPr>
                <w:rFonts w:ascii="Garamond" w:hAnsi="Garamond" w:cs="Times New Roman"/>
                <w:color w:val="000000"/>
              </w:rPr>
            </w:pPr>
            <w:r w:rsidRPr="008C28AA">
              <w:rPr>
                <w:rFonts w:ascii="Garamond" w:hAnsi="Garamond" w:cs="Times New Roman"/>
              </w:rPr>
              <w:t>Capacity needs assessment</w:t>
            </w:r>
          </w:p>
          <w:p w:rsidR="008C28AA" w:rsidRPr="008C28AA" w:rsidRDefault="008C28AA" w:rsidP="008C28AA">
            <w:pPr>
              <w:pStyle w:val="ListParagraph"/>
              <w:numPr>
                <w:ilvl w:val="0"/>
                <w:numId w:val="13"/>
              </w:numPr>
              <w:spacing w:before="100" w:beforeAutospacing="1"/>
              <w:rPr>
                <w:rFonts w:ascii="Garamond" w:hAnsi="Garamond" w:cs="Times New Roman"/>
                <w:color w:val="000000"/>
              </w:rPr>
            </w:pPr>
            <w:r w:rsidRPr="008C28AA">
              <w:rPr>
                <w:rFonts w:ascii="Garamond" w:hAnsi="Garamond" w:cs="Times New Roman"/>
              </w:rPr>
              <w:t>Prioritization of capacity needs</w:t>
            </w:r>
          </w:p>
          <w:p w:rsidR="008C28AA" w:rsidRPr="008C28AA" w:rsidRDefault="008C28AA" w:rsidP="008C28AA">
            <w:pPr>
              <w:pStyle w:val="ListParagraph"/>
              <w:numPr>
                <w:ilvl w:val="0"/>
                <w:numId w:val="13"/>
              </w:numPr>
              <w:spacing w:before="100" w:beforeAutospacing="1"/>
              <w:rPr>
                <w:rFonts w:ascii="Garamond" w:hAnsi="Garamond" w:cs="Times New Roman"/>
                <w:color w:val="000000"/>
              </w:rPr>
            </w:pPr>
            <w:r w:rsidRPr="008C28AA">
              <w:rPr>
                <w:rFonts w:ascii="Garamond" w:hAnsi="Garamond" w:cs="Times New Roman"/>
              </w:rPr>
              <w:t>Identified capacity needs with resource allocation</w:t>
            </w:r>
          </w:p>
          <w:p w:rsidR="008C28AA" w:rsidRPr="008C28AA" w:rsidRDefault="008C28AA" w:rsidP="008C28AA">
            <w:pPr>
              <w:pStyle w:val="ListParagraph"/>
              <w:numPr>
                <w:ilvl w:val="0"/>
                <w:numId w:val="13"/>
              </w:numPr>
              <w:spacing w:before="100" w:beforeAutospacing="1"/>
              <w:rPr>
                <w:rFonts w:ascii="Garamond" w:hAnsi="Garamond" w:cs="Times New Roman"/>
                <w:color w:val="000000"/>
              </w:rPr>
            </w:pPr>
            <w:r w:rsidRPr="008C28AA">
              <w:rPr>
                <w:rFonts w:ascii="Garamond" w:hAnsi="Garamond" w:cs="Times New Roman"/>
                <w:color w:val="000000"/>
              </w:rPr>
              <w:t>Assessment of impact</w:t>
            </w:r>
          </w:p>
          <w:p w:rsidR="008C28AA" w:rsidRPr="008C28AA" w:rsidRDefault="008C28AA" w:rsidP="008C28AA">
            <w:pPr>
              <w:pStyle w:val="ListParagraph"/>
              <w:numPr>
                <w:ilvl w:val="0"/>
                <w:numId w:val="13"/>
              </w:numPr>
              <w:spacing w:before="100" w:beforeAutospacing="1"/>
              <w:rPr>
                <w:rFonts w:ascii="Garamond" w:hAnsi="Garamond" w:cs="Times New Roman"/>
                <w:color w:val="000000"/>
              </w:rPr>
            </w:pPr>
            <w:r w:rsidRPr="008C28AA">
              <w:rPr>
                <w:rFonts w:ascii="Garamond" w:hAnsi="Garamond" w:cs="Times New Roman"/>
                <w:color w:val="000000"/>
              </w:rPr>
              <w:t>Professional development achievements</w:t>
            </w:r>
          </w:p>
          <w:p w:rsidR="008C28AA" w:rsidRPr="008C28AA" w:rsidRDefault="008C28AA" w:rsidP="008C28AA">
            <w:pPr>
              <w:pStyle w:val="ListParagraph"/>
              <w:numPr>
                <w:ilvl w:val="0"/>
                <w:numId w:val="13"/>
              </w:numPr>
              <w:spacing w:before="100" w:beforeAutospacing="1"/>
              <w:rPr>
                <w:rFonts w:ascii="Garamond" w:hAnsi="Garamond" w:cs="Times New Roman"/>
                <w:color w:val="000000"/>
              </w:rPr>
            </w:pPr>
            <w:r w:rsidRPr="008C28AA">
              <w:rPr>
                <w:rFonts w:ascii="Garamond" w:hAnsi="Garamond" w:cs="Times New Roman"/>
                <w:color w:val="000000"/>
              </w:rPr>
              <w:t>Meeting accreditation standards</w:t>
            </w:r>
          </w:p>
          <w:p w:rsidR="008C28AA" w:rsidRPr="008C28AA" w:rsidRDefault="008C28AA" w:rsidP="008C28AA">
            <w:pPr>
              <w:pStyle w:val="ListParagraph"/>
              <w:numPr>
                <w:ilvl w:val="0"/>
                <w:numId w:val="13"/>
              </w:numPr>
              <w:spacing w:before="100" w:beforeAutospacing="1"/>
              <w:rPr>
                <w:rFonts w:ascii="Garamond" w:hAnsi="Garamond" w:cs="Times New Roman"/>
                <w:color w:val="000000"/>
              </w:rPr>
            </w:pPr>
            <w:r w:rsidRPr="008C28AA">
              <w:rPr>
                <w:rFonts w:ascii="Garamond" w:hAnsi="Garamond" w:cs="Times New Roman"/>
                <w:color w:val="000000"/>
              </w:rPr>
              <w:t>Consultant use for technical assistance and special projects</w:t>
            </w:r>
          </w:p>
          <w:p w:rsidR="008C28AA" w:rsidRPr="008C28AA" w:rsidRDefault="008C28AA" w:rsidP="008C28AA">
            <w:pPr>
              <w:spacing w:before="100" w:beforeAutospacing="1"/>
              <w:rPr>
                <w:rFonts w:ascii="Garamond" w:hAnsi="Garamond" w:cs="Times New Roman"/>
              </w:rPr>
            </w:pPr>
          </w:p>
        </w:tc>
        <w:tc>
          <w:tcPr>
            <w:tcW w:w="4178" w:type="dxa"/>
          </w:tcPr>
          <w:p w:rsidR="008C28AA" w:rsidRPr="008C28AA" w:rsidRDefault="008C28AA" w:rsidP="008C28AA">
            <w:pPr>
              <w:pStyle w:val="ListParagraph"/>
              <w:numPr>
                <w:ilvl w:val="0"/>
                <w:numId w:val="13"/>
              </w:numPr>
              <w:spacing w:before="100" w:beforeAutospacing="1"/>
              <w:ind w:left="432"/>
              <w:rPr>
                <w:rFonts w:ascii="Garamond" w:hAnsi="Garamond" w:cs="Times New Roman"/>
              </w:rPr>
            </w:pPr>
            <w:r w:rsidRPr="008C28AA">
              <w:rPr>
                <w:rFonts w:ascii="Garamond" w:hAnsi="Garamond" w:cs="Times New Roman"/>
              </w:rPr>
              <w:t>Percent allocation of professional development funds against prioritized capacity development needs</w:t>
            </w:r>
          </w:p>
          <w:p w:rsidR="008C28AA" w:rsidRPr="008C28AA" w:rsidRDefault="008C28AA" w:rsidP="008C28AA">
            <w:pPr>
              <w:pStyle w:val="ListParagraph"/>
              <w:numPr>
                <w:ilvl w:val="0"/>
                <w:numId w:val="13"/>
              </w:numPr>
              <w:spacing w:before="100" w:beforeAutospacing="1"/>
              <w:ind w:left="432"/>
              <w:rPr>
                <w:rFonts w:ascii="Garamond" w:hAnsi="Garamond" w:cs="Times New Roman"/>
              </w:rPr>
            </w:pPr>
            <w:r w:rsidRPr="008C28AA">
              <w:rPr>
                <w:rFonts w:ascii="Garamond" w:hAnsi="Garamond" w:cs="Times New Roman"/>
              </w:rPr>
              <w:t>Impact of professional development on work performance</w:t>
            </w:r>
          </w:p>
          <w:p w:rsidR="008C28AA" w:rsidRPr="008C28AA" w:rsidRDefault="008C28AA" w:rsidP="008C28AA">
            <w:pPr>
              <w:pStyle w:val="ListParagraph"/>
              <w:numPr>
                <w:ilvl w:val="0"/>
                <w:numId w:val="13"/>
              </w:numPr>
              <w:spacing w:before="100" w:beforeAutospacing="1"/>
              <w:ind w:left="432"/>
              <w:rPr>
                <w:rFonts w:ascii="Garamond" w:hAnsi="Garamond" w:cs="Times New Roman"/>
              </w:rPr>
            </w:pPr>
            <w:r w:rsidRPr="008C28AA">
              <w:rPr>
                <w:rFonts w:ascii="Garamond" w:hAnsi="Garamond" w:cs="Times New Roman"/>
              </w:rPr>
              <w:t>Percent of technical assistance and special projects done in-house and by consultants</w:t>
            </w:r>
          </w:p>
          <w:p w:rsidR="008C28AA" w:rsidRPr="008C28AA" w:rsidRDefault="008C28AA" w:rsidP="008C28AA">
            <w:pPr>
              <w:pStyle w:val="ListParagraph"/>
              <w:numPr>
                <w:ilvl w:val="0"/>
                <w:numId w:val="13"/>
              </w:numPr>
              <w:spacing w:before="100" w:beforeAutospacing="1"/>
              <w:ind w:left="432"/>
              <w:rPr>
                <w:rFonts w:ascii="Garamond" w:hAnsi="Garamond" w:cs="Times New Roman"/>
              </w:rPr>
            </w:pPr>
            <w:r w:rsidRPr="008C28AA">
              <w:rPr>
                <w:rFonts w:ascii="Garamond" w:hAnsi="Garamond" w:cs="Times New Roman"/>
              </w:rPr>
              <w:t>Amount of institutional support per faculty and staff for professional development</w:t>
            </w:r>
          </w:p>
          <w:p w:rsidR="008C28AA" w:rsidRPr="008C28AA" w:rsidRDefault="008C28AA" w:rsidP="008C28AA">
            <w:pPr>
              <w:pStyle w:val="ListParagraph"/>
              <w:numPr>
                <w:ilvl w:val="0"/>
                <w:numId w:val="13"/>
              </w:numPr>
              <w:spacing w:before="100" w:beforeAutospacing="1"/>
              <w:ind w:left="432"/>
              <w:rPr>
                <w:rFonts w:ascii="Garamond" w:hAnsi="Garamond" w:cs="Times New Roman"/>
              </w:rPr>
            </w:pPr>
            <w:r w:rsidRPr="008C28AA">
              <w:rPr>
                <w:rFonts w:ascii="Garamond" w:hAnsi="Garamond" w:cs="Times New Roman"/>
              </w:rPr>
              <w:t>Percent of overall college budget spent for professional development</w:t>
            </w:r>
          </w:p>
          <w:p w:rsidR="008C28AA" w:rsidRPr="008C28AA" w:rsidRDefault="008C28AA" w:rsidP="008C28AA">
            <w:pPr>
              <w:pStyle w:val="ListParagraph"/>
              <w:numPr>
                <w:ilvl w:val="0"/>
                <w:numId w:val="13"/>
              </w:numPr>
              <w:spacing w:before="100" w:beforeAutospacing="1"/>
              <w:ind w:left="432"/>
              <w:rPr>
                <w:rFonts w:ascii="Garamond" w:hAnsi="Garamond" w:cs="Times New Roman"/>
              </w:rPr>
            </w:pPr>
            <w:r w:rsidRPr="008C28AA">
              <w:rPr>
                <w:rFonts w:ascii="Garamond" w:hAnsi="Garamond" w:cs="Times New Roman"/>
              </w:rPr>
              <w:t>Percent of programs and employees with identified professional development plans and progress on completing those plans</w:t>
            </w:r>
          </w:p>
          <w:p w:rsidR="008C28AA" w:rsidRPr="008C28AA" w:rsidRDefault="008C28AA" w:rsidP="008C28AA">
            <w:pPr>
              <w:pStyle w:val="ListParagraph"/>
              <w:numPr>
                <w:ilvl w:val="0"/>
                <w:numId w:val="13"/>
              </w:numPr>
              <w:spacing w:before="100" w:beforeAutospacing="1"/>
              <w:ind w:left="432"/>
              <w:rPr>
                <w:rFonts w:ascii="Garamond" w:hAnsi="Garamond" w:cs="Times New Roman"/>
              </w:rPr>
            </w:pPr>
            <w:r w:rsidRPr="008C28AA">
              <w:rPr>
                <w:rFonts w:ascii="Garamond" w:hAnsi="Garamond" w:cs="Times New Roman"/>
              </w:rPr>
              <w:t>Tracking and impact of professional development completed through “no cost” options such as MOOCs, webinars, etc.</w:t>
            </w:r>
          </w:p>
          <w:p w:rsidR="008C28AA" w:rsidRPr="008C28AA" w:rsidRDefault="008C28AA" w:rsidP="008C28AA">
            <w:pPr>
              <w:pStyle w:val="ListParagraph"/>
              <w:spacing w:before="100" w:beforeAutospacing="1"/>
              <w:ind w:left="432"/>
              <w:rPr>
                <w:rFonts w:ascii="Garamond" w:hAnsi="Garamond" w:cs="Times New Roman"/>
              </w:rPr>
            </w:pPr>
          </w:p>
        </w:tc>
      </w:tr>
    </w:tbl>
    <w:p w:rsidR="00C8418A" w:rsidRPr="00C8418A" w:rsidRDefault="00C8418A" w:rsidP="00C8418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Become a learning organization through development of a learning culture guided by learning leaders</w:t>
      </w:r>
    </w:p>
    <w:p w:rsid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operate under the assumptions that learning is a skill and is worthy of investment and mastery, and that the communica</w:t>
      </w:r>
      <w:r w:rsidR="005A5F22">
        <w:rPr>
          <w:rFonts w:ascii="Garamond" w:hAnsi="Garamond" w:cs="Times New Roman"/>
          <w:color w:val="000000"/>
        </w:rPr>
        <w:t xml:space="preserve">tion of information and </w:t>
      </w:r>
      <w:r w:rsidRPr="00C8418A">
        <w:rPr>
          <w:rFonts w:ascii="Garamond" w:hAnsi="Garamond" w:cs="Times New Roman"/>
          <w:color w:val="000000"/>
        </w:rPr>
        <w:t>participatory governance are pivotal to organizational success. There will be support of the time, energy, and resources necessary to foster critical reflection and experimentation towards institutional improvement through double-loop learning and systematic thinking.</w:t>
      </w:r>
    </w:p>
    <w:p w:rsidR="005A5F22" w:rsidRDefault="005A5F22" w:rsidP="005A5F22">
      <w:pPr>
        <w:spacing w:before="100" w:beforeAutospacing="1"/>
        <w:rPr>
          <w:rFonts w:ascii="Garamond" w:hAnsi="Garamond" w:cs="Times New Roman"/>
          <w:color w:val="000000"/>
        </w:rPr>
      </w:pPr>
    </w:p>
    <w:tbl>
      <w:tblPr>
        <w:tblStyle w:val="TableGrid"/>
        <w:tblW w:w="0" w:type="auto"/>
        <w:tblLook w:val="04A0"/>
      </w:tblPr>
      <w:tblGrid>
        <w:gridCol w:w="8856"/>
      </w:tblGrid>
      <w:tr w:rsidR="005A5F22">
        <w:tc>
          <w:tcPr>
            <w:tcW w:w="8856" w:type="dxa"/>
            <w:shd w:val="clear" w:color="auto" w:fill="E6E6E6"/>
          </w:tcPr>
          <w:p w:rsidR="00F26612" w:rsidRDefault="005A5F22" w:rsidP="005A5F22">
            <w:pPr>
              <w:spacing w:before="100" w:beforeAutospacing="1"/>
              <w:rPr>
                <w:rFonts w:ascii="Garamond" w:hAnsi="Garamond" w:cs="Times New Roman"/>
                <w:color w:val="000000"/>
              </w:rPr>
            </w:pPr>
            <w:r>
              <w:rPr>
                <w:rFonts w:ascii="Garamond" w:hAnsi="Garamond" w:cs="Times New Roman"/>
                <w:color w:val="000000"/>
              </w:rPr>
              <w:t>Strategic Plan Goal 5.1:</w:t>
            </w:r>
            <w:r w:rsidR="00E02C84">
              <w:rPr>
                <w:rFonts w:ascii="Garamond" w:hAnsi="Garamond" w:cs="Times New Roman"/>
                <w:color w:val="000000"/>
              </w:rPr>
              <w:t xml:space="preserve">  Become a learning organization</w:t>
            </w:r>
            <w:r w:rsidR="00F26612">
              <w:rPr>
                <w:rFonts w:ascii="Garamond" w:hAnsi="Garamond" w:cs="Times New Roman"/>
                <w:color w:val="000000"/>
              </w:rPr>
              <w:t xml:space="preserve"> by:</w:t>
            </w:r>
          </w:p>
          <w:p w:rsidR="00F26612" w:rsidRDefault="00181055" w:rsidP="00F26612">
            <w:pPr>
              <w:pStyle w:val="ListParagraph"/>
              <w:numPr>
                <w:ilvl w:val="0"/>
                <w:numId w:val="15"/>
              </w:numPr>
              <w:spacing w:before="100" w:beforeAutospacing="1"/>
              <w:rPr>
                <w:rFonts w:ascii="Garamond" w:hAnsi="Garamond" w:cs="Times New Roman"/>
                <w:color w:val="000000"/>
              </w:rPr>
            </w:pPr>
            <w:r>
              <w:rPr>
                <w:rFonts w:ascii="Garamond" w:hAnsi="Garamond" w:cs="Times New Roman"/>
                <w:color w:val="000000"/>
              </w:rPr>
              <w:t>Fostering mastery</w:t>
            </w:r>
            <w:r w:rsidR="00E02C84">
              <w:rPr>
                <w:rFonts w:ascii="Garamond" w:hAnsi="Garamond" w:cs="Times New Roman"/>
                <w:color w:val="000000"/>
              </w:rPr>
              <w:t xml:space="preserve"> of life-long learning skills</w:t>
            </w:r>
            <w:r>
              <w:rPr>
                <w:rFonts w:ascii="Garamond" w:hAnsi="Garamond" w:cs="Times New Roman"/>
                <w:color w:val="000000"/>
              </w:rPr>
              <w:t>;</w:t>
            </w:r>
          </w:p>
          <w:p w:rsidR="00C44132" w:rsidRDefault="00E02C84" w:rsidP="00F26612">
            <w:pPr>
              <w:pStyle w:val="ListParagraph"/>
              <w:numPr>
                <w:ilvl w:val="0"/>
                <w:numId w:val="15"/>
              </w:numPr>
              <w:spacing w:before="100" w:beforeAutospacing="1"/>
              <w:rPr>
                <w:rFonts w:ascii="Garamond" w:hAnsi="Garamond" w:cs="Times New Roman"/>
                <w:color w:val="000000"/>
              </w:rPr>
            </w:pPr>
            <w:r>
              <w:rPr>
                <w:rFonts w:ascii="Garamond" w:hAnsi="Garamond" w:cs="Times New Roman"/>
                <w:color w:val="000000"/>
              </w:rPr>
              <w:t xml:space="preserve">Allocating time, energy, and resources to foster critical reflection and experimentation; </w:t>
            </w:r>
          </w:p>
          <w:p w:rsidR="00E02C84" w:rsidRDefault="00C44132" w:rsidP="00F26612">
            <w:pPr>
              <w:pStyle w:val="ListParagraph"/>
              <w:numPr>
                <w:ilvl w:val="0"/>
                <w:numId w:val="15"/>
              </w:numPr>
              <w:spacing w:before="100" w:beforeAutospacing="1"/>
              <w:rPr>
                <w:rFonts w:ascii="Garamond" w:hAnsi="Garamond" w:cs="Times New Roman"/>
                <w:color w:val="000000"/>
              </w:rPr>
            </w:pPr>
            <w:r>
              <w:rPr>
                <w:rFonts w:ascii="Garamond" w:hAnsi="Garamond" w:cs="Times New Roman"/>
                <w:color w:val="000000"/>
              </w:rPr>
              <w:t xml:space="preserve">Supporting learning leadership; </w:t>
            </w:r>
            <w:r w:rsidR="00E02C84">
              <w:rPr>
                <w:rFonts w:ascii="Garamond" w:hAnsi="Garamond" w:cs="Times New Roman"/>
                <w:color w:val="000000"/>
              </w:rPr>
              <w:t>and</w:t>
            </w:r>
          </w:p>
          <w:p w:rsidR="00F26612" w:rsidRPr="00743E60" w:rsidRDefault="00E02C84" w:rsidP="005A5F22">
            <w:pPr>
              <w:pStyle w:val="ListParagraph"/>
              <w:numPr>
                <w:ilvl w:val="0"/>
                <w:numId w:val="15"/>
              </w:numPr>
              <w:spacing w:before="100" w:beforeAutospacing="1"/>
              <w:rPr>
                <w:rFonts w:ascii="Garamond" w:hAnsi="Garamond" w:cs="Times New Roman"/>
                <w:color w:val="000000"/>
              </w:rPr>
            </w:pPr>
            <w:r>
              <w:rPr>
                <w:rFonts w:ascii="Garamond" w:hAnsi="Garamond" w:cs="Times New Roman"/>
                <w:color w:val="000000"/>
              </w:rPr>
              <w:t>Demonstrating double-loop learning and systematic thinking.</w:t>
            </w:r>
          </w:p>
        </w:tc>
      </w:tr>
    </w:tbl>
    <w:p w:rsidR="005A5F22" w:rsidRDefault="005A5F22" w:rsidP="005A5F22">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5A5F22" w:rsidRDefault="00914894" w:rsidP="005A5F22">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Assess life-long learning skills</w:t>
      </w:r>
    </w:p>
    <w:p w:rsidR="00914894" w:rsidRDefault="00914894" w:rsidP="005A5F22">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Plans, policies, and other institutional evidence reflecting allocation of time</w:t>
      </w:r>
      <w:r w:rsidR="00010003">
        <w:rPr>
          <w:rFonts w:ascii="Garamond" w:hAnsi="Garamond" w:cs="Times New Roman"/>
          <w:color w:val="000000"/>
        </w:rPr>
        <w:t>, energy,</w:t>
      </w:r>
      <w:r>
        <w:rPr>
          <w:rFonts w:ascii="Garamond" w:hAnsi="Garamond" w:cs="Times New Roman"/>
          <w:color w:val="000000"/>
        </w:rPr>
        <w:t xml:space="preserve"> and resources for critical reflection</w:t>
      </w:r>
    </w:p>
    <w:p w:rsidR="00914894" w:rsidRDefault="004858A0" w:rsidP="005A5F22">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Program assessments/reviews</w:t>
      </w:r>
    </w:p>
    <w:p w:rsidR="004858A0" w:rsidRDefault="004858A0" w:rsidP="005A5F22">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Professional development opportunities</w:t>
      </w:r>
    </w:p>
    <w:p w:rsidR="005A5F22" w:rsidRPr="004E17F8" w:rsidRDefault="00AF4958" w:rsidP="00C8418A">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Evidence of double-loop learning and systematic thinking</w:t>
      </w:r>
      <w:r w:rsidR="00D342CD">
        <w:rPr>
          <w:rFonts w:ascii="Garamond" w:hAnsi="Garamond" w:cs="Times New Roman"/>
          <w:color w:val="000000"/>
        </w:rPr>
        <w:t xml:space="preserve"> (ga</w:t>
      </w:r>
      <w:r w:rsidR="004E17F8">
        <w:rPr>
          <w:rFonts w:ascii="Garamond" w:hAnsi="Garamond" w:cs="Times New Roman"/>
          <w:color w:val="000000"/>
        </w:rPr>
        <w:t>p identification with</w:t>
      </w:r>
      <w:r w:rsidR="00D342CD">
        <w:rPr>
          <w:rFonts w:ascii="Garamond" w:hAnsi="Garamond" w:cs="Times New Roman"/>
          <w:color w:val="000000"/>
        </w:rPr>
        <w:t xml:space="preserve"> improvement</w:t>
      </w:r>
      <w:r w:rsidR="004E17F8">
        <w:rPr>
          <w:rFonts w:ascii="Garamond" w:hAnsi="Garamond" w:cs="Times New Roman"/>
          <w:color w:val="000000"/>
        </w:rPr>
        <w:t xml:space="preserve"> plans</w:t>
      </w:r>
      <w:r w:rsidR="00D342CD">
        <w:rPr>
          <w:rFonts w:ascii="Garamond" w:hAnsi="Garamond" w:cs="Times New Roman"/>
          <w:color w:val="000000"/>
        </w:rPr>
        <w:t>)</w:t>
      </w:r>
    </w:p>
    <w:p w:rsidR="008C28AA" w:rsidRDefault="008C28AA" w:rsidP="008C28AA">
      <w:pPr>
        <w:spacing w:before="100" w:beforeAutospacing="1"/>
        <w:rPr>
          <w:rFonts w:ascii="Garamond" w:hAnsi="Garamond" w:cs="Times New Roman"/>
          <w:color w:val="1F497D" w:themeColor="text2"/>
        </w:rPr>
      </w:pPr>
    </w:p>
    <w:tbl>
      <w:tblPr>
        <w:tblStyle w:val="TableGrid"/>
        <w:tblW w:w="0" w:type="auto"/>
        <w:tblLook w:val="04A0"/>
      </w:tblPr>
      <w:tblGrid>
        <w:gridCol w:w="4258"/>
        <w:gridCol w:w="4258"/>
      </w:tblGrid>
      <w:tr w:rsidR="008C28AA">
        <w:tc>
          <w:tcPr>
            <w:tcW w:w="4258" w:type="dxa"/>
          </w:tcPr>
          <w:p w:rsidR="008C28AA" w:rsidRPr="00764735" w:rsidRDefault="008C28AA"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Original</w:t>
            </w:r>
          </w:p>
        </w:tc>
        <w:tc>
          <w:tcPr>
            <w:tcW w:w="4258" w:type="dxa"/>
          </w:tcPr>
          <w:p w:rsidR="008C28AA" w:rsidRPr="00764735" w:rsidRDefault="008C28AA"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Suggested</w:t>
            </w:r>
          </w:p>
        </w:tc>
      </w:tr>
      <w:tr w:rsidR="008C28AA">
        <w:tc>
          <w:tcPr>
            <w:tcW w:w="4258" w:type="dxa"/>
          </w:tcPr>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Assess life-long learning skills</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Plans, policies, and other institutional evidence reflecting allocation of time, energy, and resources for critical reflection</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Program assessments/reviews</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Professional development opportunities</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Evidence of double-loop learning and systematic thinking (gap identification with improvement plans)</w:t>
            </w:r>
          </w:p>
          <w:p w:rsidR="008C28AA" w:rsidRPr="008C28AA" w:rsidRDefault="008C28AA" w:rsidP="008C28AA">
            <w:pPr>
              <w:spacing w:before="100" w:beforeAutospacing="1"/>
              <w:rPr>
                <w:rFonts w:ascii="Garamond" w:hAnsi="Garamond" w:cs="Times New Roman"/>
              </w:rPr>
            </w:pPr>
          </w:p>
        </w:tc>
        <w:tc>
          <w:tcPr>
            <w:tcW w:w="4258" w:type="dxa"/>
          </w:tcPr>
          <w:p w:rsidR="008C28AA" w:rsidRPr="008C28AA" w:rsidRDefault="008C28AA" w:rsidP="008C28AA">
            <w:pPr>
              <w:pStyle w:val="ListParagraph"/>
              <w:numPr>
                <w:ilvl w:val="0"/>
                <w:numId w:val="12"/>
              </w:numPr>
              <w:spacing w:before="100" w:beforeAutospacing="1"/>
              <w:ind w:left="422"/>
              <w:rPr>
                <w:rFonts w:ascii="Garamond" w:hAnsi="Garamond"/>
              </w:rPr>
            </w:pPr>
            <w:r w:rsidRPr="008C28AA">
              <w:rPr>
                <w:rFonts w:ascii="Garamond" w:hAnsi="Garamond" w:cs="Times New Roman"/>
              </w:rPr>
              <w:t xml:space="preserve">Assessment of the college as a learning organization centered on Peter Senge’s Five Disciplines: </w:t>
            </w:r>
            <w:r w:rsidRPr="008C28AA">
              <w:rPr>
                <w:rFonts w:ascii="Garamond" w:hAnsi="Garamond"/>
              </w:rPr>
              <w:t>Systems thinking, Personal mastery, Mental models, Building shared vision, and Team learning.  Assessment to be based on evidence generated by the governance structure: committee and team minutes, policy assessment, and program reviews, etc.</w:t>
            </w:r>
          </w:p>
          <w:p w:rsidR="008C28AA" w:rsidRPr="008C28AA" w:rsidRDefault="008C28AA" w:rsidP="008C28AA">
            <w:pPr>
              <w:pStyle w:val="ListParagraph"/>
              <w:numPr>
                <w:ilvl w:val="0"/>
                <w:numId w:val="12"/>
              </w:numPr>
              <w:spacing w:before="100" w:beforeAutospacing="1"/>
              <w:ind w:left="422"/>
              <w:rPr>
                <w:rFonts w:ascii="Garamond" w:hAnsi="Garamond" w:cs="Times New Roman"/>
              </w:rPr>
            </w:pPr>
            <w:r w:rsidRPr="008C28AA">
              <w:rPr>
                <w:rFonts w:ascii="Garamond" w:hAnsi="Garamond" w:cs="Times New Roman"/>
              </w:rPr>
              <w:t>Percent and impact of professional development activities developed to developing and enhancing lifelong learning skills of faculty and staff</w:t>
            </w:r>
          </w:p>
        </w:tc>
      </w:tr>
    </w:tbl>
    <w:p w:rsidR="008C28AA" w:rsidRDefault="008C28AA" w:rsidP="00ED5525">
      <w:pPr>
        <w:spacing w:before="100" w:beforeAutospacing="1"/>
        <w:rPr>
          <w:rFonts w:ascii="Garamond" w:hAnsi="Garamond" w:cs="Times New Roman"/>
          <w:color w:val="000000"/>
        </w:rPr>
      </w:pPr>
    </w:p>
    <w:p w:rsidR="008C28AA" w:rsidRDefault="008C28AA" w:rsidP="00ED5525">
      <w:pPr>
        <w:spacing w:before="100" w:beforeAutospacing="1"/>
        <w:rPr>
          <w:rFonts w:ascii="Garamond" w:hAnsi="Garamond" w:cs="Times New Roman"/>
          <w:color w:val="000000"/>
        </w:rPr>
      </w:pPr>
    </w:p>
    <w:tbl>
      <w:tblPr>
        <w:tblStyle w:val="TableGrid"/>
        <w:tblW w:w="0" w:type="auto"/>
        <w:tblLook w:val="04A0"/>
      </w:tblPr>
      <w:tblGrid>
        <w:gridCol w:w="8856"/>
      </w:tblGrid>
      <w:tr w:rsidR="00ED5525">
        <w:tc>
          <w:tcPr>
            <w:tcW w:w="8856" w:type="dxa"/>
            <w:shd w:val="clear" w:color="auto" w:fill="E6E6E6"/>
          </w:tcPr>
          <w:p w:rsidR="00ED5525" w:rsidRDefault="006110DE" w:rsidP="00ED5525">
            <w:pPr>
              <w:spacing w:before="100" w:beforeAutospacing="1"/>
              <w:rPr>
                <w:rFonts w:ascii="Garamond" w:hAnsi="Garamond" w:cs="Times New Roman"/>
                <w:color w:val="000000"/>
              </w:rPr>
            </w:pPr>
            <w:r>
              <w:rPr>
                <w:rFonts w:ascii="Garamond" w:hAnsi="Garamond" w:cs="Times New Roman"/>
                <w:color w:val="000000"/>
              </w:rPr>
              <w:t>Strategic Plan Goal 5.2</w:t>
            </w:r>
            <w:r w:rsidR="00ED5525">
              <w:rPr>
                <w:rFonts w:ascii="Garamond" w:hAnsi="Garamond" w:cs="Times New Roman"/>
                <w:color w:val="000000"/>
              </w:rPr>
              <w:t>: Achieve and strengthen purposeful dialogue by:</w:t>
            </w:r>
          </w:p>
          <w:p w:rsidR="00ED5525" w:rsidRDefault="00ED5525" w:rsidP="00ED5525">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Embedding appropriate communication practices and guiding principles in the objectives of each college program, governance body</w:t>
            </w:r>
            <w:r w:rsidR="006110DE">
              <w:rPr>
                <w:rFonts w:ascii="Garamond" w:hAnsi="Garamond" w:cs="Times New Roman"/>
                <w:color w:val="000000"/>
              </w:rPr>
              <w:t>,</w:t>
            </w:r>
            <w:r>
              <w:rPr>
                <w:rFonts w:ascii="Garamond" w:hAnsi="Garamond" w:cs="Times New Roman"/>
                <w:color w:val="000000"/>
              </w:rPr>
              <w:t xml:space="preserve"> and administrative office;</w:t>
            </w:r>
          </w:p>
          <w:p w:rsidR="00ED5525" w:rsidRDefault="00ED5525" w:rsidP="00ED5525">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Adopting a continuous improvement model to measure progress in these communication practices and guiding principles within the college’s ongoing assessments;</w:t>
            </w:r>
          </w:p>
          <w:p w:rsidR="00ED5525" w:rsidRDefault="00ED5525" w:rsidP="00ED5525">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 xml:space="preserve">Ensuring that college communications are accessible, accurate, timely, clear, and understood by their intended </w:t>
            </w:r>
            <w:r w:rsidR="006110DE">
              <w:rPr>
                <w:rFonts w:ascii="Garamond" w:hAnsi="Garamond" w:cs="Times New Roman"/>
                <w:color w:val="000000"/>
              </w:rPr>
              <w:t>internal and external stakeholders</w:t>
            </w:r>
            <w:r>
              <w:rPr>
                <w:rFonts w:ascii="Garamond" w:hAnsi="Garamond" w:cs="Times New Roman"/>
                <w:color w:val="000000"/>
              </w:rPr>
              <w:t>;</w:t>
            </w:r>
          </w:p>
          <w:p w:rsidR="00ED5525" w:rsidRDefault="00ED5525" w:rsidP="00ED5525">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Developing technology to improve communications among all campuses of the college;</w:t>
            </w:r>
            <w:r w:rsidR="002709DE">
              <w:rPr>
                <w:rFonts w:ascii="Garamond" w:hAnsi="Garamond" w:cs="Times New Roman"/>
                <w:color w:val="000000"/>
              </w:rPr>
              <w:t xml:space="preserve"> and</w:t>
            </w:r>
          </w:p>
          <w:p w:rsidR="00ED5525" w:rsidRPr="002709DE" w:rsidRDefault="00ED5525" w:rsidP="002709DE">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Developing and maintaining a centralized databa</w:t>
            </w:r>
            <w:r w:rsidR="006110DE">
              <w:rPr>
                <w:rFonts w:ascii="Garamond" w:hAnsi="Garamond" w:cs="Times New Roman"/>
                <w:color w:val="000000"/>
              </w:rPr>
              <w:t>se of college policies and proce</w:t>
            </w:r>
            <w:r>
              <w:rPr>
                <w:rFonts w:ascii="Garamond" w:hAnsi="Garamond" w:cs="Times New Roman"/>
                <w:color w:val="000000"/>
              </w:rPr>
              <w:t>dures</w:t>
            </w:r>
            <w:r w:rsidR="002709DE">
              <w:rPr>
                <w:rFonts w:ascii="Garamond" w:hAnsi="Garamond" w:cs="Times New Roman"/>
                <w:color w:val="000000"/>
              </w:rPr>
              <w:t>.</w:t>
            </w:r>
          </w:p>
        </w:tc>
      </w:tr>
    </w:tbl>
    <w:p w:rsidR="00ED5525" w:rsidRDefault="00ED5525" w:rsidP="00ED5525">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ED5525" w:rsidRDefault="00F35233" w:rsidP="00ED5525">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Communication assessment</w:t>
      </w:r>
      <w:r w:rsidR="00222B41">
        <w:rPr>
          <w:rFonts w:ascii="Garamond" w:hAnsi="Garamond" w:cs="Times New Roman"/>
          <w:color w:val="000000"/>
        </w:rPr>
        <w:t>/survey</w:t>
      </w:r>
    </w:p>
    <w:p w:rsidR="00F35233" w:rsidRDefault="00222B41" w:rsidP="00ED5525">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User testing</w:t>
      </w:r>
    </w:p>
    <w:p w:rsidR="00222B41" w:rsidRDefault="001A4833" w:rsidP="00ED5525">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Technology assessment</w:t>
      </w:r>
    </w:p>
    <w:p w:rsidR="001F5F3A" w:rsidRDefault="001F5F3A" w:rsidP="00ED5525">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Technology upgrades</w:t>
      </w:r>
    </w:p>
    <w:p w:rsidR="001F5F3A" w:rsidRDefault="001F5F3A" w:rsidP="00ED5525">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Contract with Telecom</w:t>
      </w:r>
    </w:p>
    <w:p w:rsidR="008C28AA" w:rsidRDefault="00FB4852" w:rsidP="008C28AA">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Policies online</w:t>
      </w:r>
    </w:p>
    <w:p w:rsidR="008C28AA" w:rsidRPr="008C28AA" w:rsidRDefault="008C28AA" w:rsidP="008C28AA">
      <w:pPr>
        <w:pStyle w:val="ListParagraph"/>
        <w:spacing w:before="100" w:beforeAutospacing="1"/>
        <w:rPr>
          <w:rFonts w:ascii="Garamond" w:hAnsi="Garamond" w:cs="Times New Roman"/>
          <w:color w:val="000000"/>
        </w:rPr>
      </w:pPr>
    </w:p>
    <w:tbl>
      <w:tblPr>
        <w:tblStyle w:val="TableGrid"/>
        <w:tblW w:w="0" w:type="auto"/>
        <w:tblLook w:val="04A0"/>
      </w:tblPr>
      <w:tblGrid>
        <w:gridCol w:w="4258"/>
        <w:gridCol w:w="4258"/>
      </w:tblGrid>
      <w:tr w:rsidR="008C28AA">
        <w:tc>
          <w:tcPr>
            <w:tcW w:w="4258" w:type="dxa"/>
          </w:tcPr>
          <w:p w:rsidR="008C28AA" w:rsidRPr="00764735" w:rsidRDefault="008C28AA"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 xml:space="preserve">Original </w:t>
            </w:r>
          </w:p>
        </w:tc>
        <w:tc>
          <w:tcPr>
            <w:tcW w:w="4258" w:type="dxa"/>
          </w:tcPr>
          <w:p w:rsidR="008C28AA" w:rsidRPr="00764735" w:rsidRDefault="008C28AA" w:rsidP="008C28AA">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Suggested</w:t>
            </w:r>
          </w:p>
        </w:tc>
      </w:tr>
      <w:tr w:rsidR="008C28AA">
        <w:tc>
          <w:tcPr>
            <w:tcW w:w="4258" w:type="dxa"/>
          </w:tcPr>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Communication assessment/survey</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User testing</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Technology assessment</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Technology upgrades</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Contract with Telecom</w:t>
            </w:r>
          </w:p>
          <w:p w:rsidR="008C28AA" w:rsidRPr="008C28AA" w:rsidRDefault="008C28AA" w:rsidP="008C28AA">
            <w:pPr>
              <w:pStyle w:val="ListParagraph"/>
              <w:numPr>
                <w:ilvl w:val="0"/>
                <w:numId w:val="12"/>
              </w:numPr>
              <w:spacing w:before="100" w:beforeAutospacing="1"/>
              <w:rPr>
                <w:rFonts w:ascii="Garamond" w:hAnsi="Garamond" w:cs="Times New Roman"/>
                <w:color w:val="000000"/>
              </w:rPr>
            </w:pPr>
            <w:r w:rsidRPr="008C28AA">
              <w:rPr>
                <w:rFonts w:ascii="Garamond" w:hAnsi="Garamond" w:cs="Times New Roman"/>
                <w:color w:val="000000"/>
              </w:rPr>
              <w:t>Policies online</w:t>
            </w:r>
          </w:p>
          <w:p w:rsidR="008C28AA" w:rsidRPr="008C28AA" w:rsidRDefault="008C28AA" w:rsidP="008C28AA">
            <w:pPr>
              <w:spacing w:before="100" w:beforeAutospacing="1"/>
              <w:rPr>
                <w:rFonts w:ascii="Garamond" w:hAnsi="Garamond" w:cs="Times New Roman"/>
              </w:rPr>
            </w:pPr>
          </w:p>
        </w:tc>
        <w:tc>
          <w:tcPr>
            <w:tcW w:w="4258" w:type="dxa"/>
          </w:tcPr>
          <w:p w:rsidR="008C28AA" w:rsidRPr="008C28AA" w:rsidRDefault="008C28AA" w:rsidP="008C28AA">
            <w:pPr>
              <w:pStyle w:val="NoSpacing"/>
              <w:rPr>
                <w:rFonts w:ascii="Garamond" w:hAnsi="Garamond"/>
                <w:b/>
              </w:rPr>
            </w:pPr>
            <w:r w:rsidRPr="008C28AA">
              <w:rPr>
                <w:rFonts w:ascii="Garamond" w:hAnsi="Garamond"/>
                <w:b/>
              </w:rPr>
              <w:t>Communications</w:t>
            </w:r>
          </w:p>
          <w:p w:rsidR="008C28AA" w:rsidRPr="008C28AA" w:rsidRDefault="008C28AA" w:rsidP="008C28AA">
            <w:pPr>
              <w:pStyle w:val="NoSpacing"/>
              <w:numPr>
                <w:ilvl w:val="0"/>
                <w:numId w:val="24"/>
              </w:numPr>
              <w:rPr>
                <w:rFonts w:ascii="Garamond" w:hAnsi="Garamond" w:cs="Times New Roman"/>
              </w:rPr>
            </w:pPr>
            <w:r w:rsidRPr="008C28AA">
              <w:rPr>
                <w:rFonts w:ascii="Garamond" w:hAnsi="Garamond" w:cs="Times New Roman"/>
              </w:rPr>
              <w:t>CCSSE and CCFSSE analysis</w:t>
            </w:r>
          </w:p>
          <w:p w:rsidR="008C28AA" w:rsidRPr="008C28AA" w:rsidRDefault="008C28AA" w:rsidP="008C28AA">
            <w:pPr>
              <w:pStyle w:val="NoSpacing"/>
              <w:numPr>
                <w:ilvl w:val="0"/>
                <w:numId w:val="24"/>
              </w:numPr>
              <w:rPr>
                <w:rFonts w:ascii="Garamond" w:hAnsi="Garamond"/>
              </w:rPr>
            </w:pPr>
            <w:r w:rsidRPr="008C28AA">
              <w:rPr>
                <w:rFonts w:ascii="Garamond" w:hAnsi="Garamond"/>
              </w:rPr>
              <w:t>College satisfaction surveys</w:t>
            </w:r>
          </w:p>
          <w:p w:rsidR="008C28AA" w:rsidRPr="008C28AA" w:rsidRDefault="008C28AA" w:rsidP="008C28AA">
            <w:pPr>
              <w:pStyle w:val="NoSpacing"/>
              <w:numPr>
                <w:ilvl w:val="0"/>
                <w:numId w:val="24"/>
              </w:numPr>
              <w:rPr>
                <w:rFonts w:ascii="Garamond" w:hAnsi="Garamond"/>
              </w:rPr>
            </w:pPr>
            <w:r w:rsidRPr="008C28AA">
              <w:rPr>
                <w:rFonts w:ascii="Garamond" w:hAnsi="Garamond"/>
              </w:rPr>
              <w:t>College communication assessment</w:t>
            </w:r>
          </w:p>
          <w:p w:rsidR="008C28AA" w:rsidRPr="008C28AA" w:rsidRDefault="008C28AA" w:rsidP="008C28AA">
            <w:pPr>
              <w:pStyle w:val="NoSpacing"/>
              <w:numPr>
                <w:ilvl w:val="0"/>
                <w:numId w:val="24"/>
              </w:numPr>
              <w:rPr>
                <w:rFonts w:ascii="Garamond" w:hAnsi="Garamond"/>
              </w:rPr>
            </w:pPr>
            <w:r w:rsidRPr="008C28AA">
              <w:rPr>
                <w:rFonts w:ascii="Garamond" w:hAnsi="Garamond"/>
              </w:rPr>
              <w:t>Information Technology program assessment and review</w:t>
            </w:r>
          </w:p>
          <w:p w:rsidR="008C28AA" w:rsidRPr="008C28AA" w:rsidRDefault="008C28AA" w:rsidP="008C28AA">
            <w:pPr>
              <w:pStyle w:val="NoSpacing"/>
              <w:numPr>
                <w:ilvl w:val="0"/>
                <w:numId w:val="24"/>
              </w:numPr>
              <w:rPr>
                <w:rFonts w:ascii="Garamond" w:hAnsi="Garamond"/>
              </w:rPr>
            </w:pPr>
            <w:r w:rsidRPr="008C28AA">
              <w:rPr>
                <w:rFonts w:ascii="Garamond" w:hAnsi="Garamond"/>
              </w:rPr>
              <w:t>Employer satisfaction surveys</w:t>
            </w:r>
          </w:p>
          <w:p w:rsidR="008C28AA" w:rsidRPr="008C28AA" w:rsidRDefault="008C28AA" w:rsidP="008C28AA">
            <w:pPr>
              <w:pStyle w:val="NoSpacing"/>
              <w:rPr>
                <w:rFonts w:ascii="Garamond" w:hAnsi="Garamond"/>
                <w:b/>
              </w:rPr>
            </w:pPr>
            <w:r w:rsidRPr="008C28AA">
              <w:rPr>
                <w:rFonts w:ascii="Garamond" w:hAnsi="Garamond"/>
                <w:b/>
              </w:rPr>
              <w:t>Policies</w:t>
            </w:r>
          </w:p>
          <w:p w:rsidR="008C28AA" w:rsidRPr="008C28AA" w:rsidRDefault="008C28AA" w:rsidP="008C28AA">
            <w:pPr>
              <w:pStyle w:val="NoSpacing"/>
              <w:numPr>
                <w:ilvl w:val="0"/>
                <w:numId w:val="25"/>
              </w:numPr>
              <w:rPr>
                <w:rFonts w:ascii="Garamond" w:hAnsi="Garamond"/>
              </w:rPr>
            </w:pPr>
            <w:r w:rsidRPr="008C28AA">
              <w:rPr>
                <w:rFonts w:ascii="Garamond" w:hAnsi="Garamond"/>
              </w:rPr>
              <w:t>Percent of policies user tested prior to full implementation</w:t>
            </w:r>
          </w:p>
          <w:p w:rsidR="008C28AA" w:rsidRPr="008C28AA" w:rsidRDefault="008C28AA" w:rsidP="008C28AA">
            <w:pPr>
              <w:pStyle w:val="NoSpacing"/>
              <w:numPr>
                <w:ilvl w:val="0"/>
                <w:numId w:val="25"/>
              </w:numPr>
              <w:rPr>
                <w:rFonts w:ascii="Garamond" w:hAnsi="Garamond"/>
              </w:rPr>
            </w:pPr>
            <w:r w:rsidRPr="008C28AA">
              <w:rPr>
                <w:rFonts w:ascii="Garamond" w:hAnsi="Garamond"/>
              </w:rPr>
              <w:t>Percent of policies assessed as per policy assessment cycle</w:t>
            </w:r>
          </w:p>
          <w:p w:rsidR="008C28AA" w:rsidRPr="008C28AA" w:rsidRDefault="008C28AA" w:rsidP="008C28AA">
            <w:pPr>
              <w:pStyle w:val="NoSpacing"/>
              <w:numPr>
                <w:ilvl w:val="0"/>
                <w:numId w:val="25"/>
              </w:numPr>
              <w:rPr>
                <w:rFonts w:ascii="Garamond" w:hAnsi="Garamond"/>
              </w:rPr>
            </w:pPr>
            <w:r w:rsidRPr="008C28AA">
              <w:rPr>
                <w:rFonts w:ascii="Garamond" w:hAnsi="Garamond"/>
              </w:rPr>
              <w:t>Percent of policies available online</w:t>
            </w:r>
          </w:p>
        </w:tc>
      </w:tr>
    </w:tbl>
    <w:p w:rsidR="008C28AA" w:rsidRPr="008C28AA" w:rsidRDefault="008C28AA" w:rsidP="008C28AA">
      <w:pPr>
        <w:spacing w:before="100" w:beforeAutospacing="1"/>
        <w:rPr>
          <w:rFonts w:ascii="Garamond" w:hAnsi="Garamond" w:cs="Times New Roman"/>
          <w:color w:val="000000"/>
        </w:rPr>
      </w:pPr>
    </w:p>
    <w:p w:rsidR="00C8418A" w:rsidRPr="00C8418A" w:rsidRDefault="00C8418A" w:rsidP="00C8418A">
      <w:pPr>
        <w:spacing w:before="100" w:beforeAutospacing="1"/>
        <w:rPr>
          <w:rFonts w:ascii="Garamond" w:hAnsi="Garamond" w:cs="Times New Roman"/>
          <w:color w:val="000000"/>
          <w:sz w:val="32"/>
          <w:szCs w:val="32"/>
        </w:rPr>
      </w:pPr>
      <w:r w:rsidRPr="00C8418A">
        <w:rPr>
          <w:rFonts w:ascii="Garamond" w:hAnsi="Garamond" w:cs="Times New Roman"/>
          <w:i/>
          <w:iCs/>
          <w:color w:val="1F497D"/>
          <w:sz w:val="32"/>
          <w:szCs w:val="32"/>
        </w:rPr>
        <w:t>Evoke an image of quality</w:t>
      </w:r>
    </w:p>
    <w:p w:rsidR="00C8418A" w:rsidRP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The College of Micronesia-FSM will be viewed as a model institution for best practices exhibited through quality, excellence, and integrity of both employees and graduates. The college will maintain regional accreditation without sanction for the maximum six-year cycle allowed by the Accrediting Commission for Community and Junior Colleges: Western Association of Schools and Colleges.</w:t>
      </w:r>
    </w:p>
    <w:p w:rsidR="004E17F8" w:rsidRDefault="004E17F8" w:rsidP="004E17F8">
      <w:pPr>
        <w:spacing w:before="100" w:beforeAutospacing="1"/>
        <w:rPr>
          <w:rFonts w:ascii="Garamond" w:hAnsi="Garamond" w:cs="Times New Roman"/>
          <w:color w:val="000000"/>
        </w:rPr>
      </w:pPr>
    </w:p>
    <w:tbl>
      <w:tblPr>
        <w:tblStyle w:val="TableGrid"/>
        <w:tblW w:w="0" w:type="auto"/>
        <w:tblLook w:val="04A0"/>
      </w:tblPr>
      <w:tblGrid>
        <w:gridCol w:w="8856"/>
      </w:tblGrid>
      <w:tr w:rsidR="004E17F8">
        <w:tc>
          <w:tcPr>
            <w:tcW w:w="8856" w:type="dxa"/>
            <w:shd w:val="clear" w:color="auto" w:fill="E6E6E6"/>
          </w:tcPr>
          <w:p w:rsidR="004E17F8" w:rsidRDefault="004E17F8" w:rsidP="004E17F8">
            <w:pPr>
              <w:spacing w:before="100" w:beforeAutospacing="1"/>
              <w:rPr>
                <w:rFonts w:ascii="Garamond" w:hAnsi="Garamond" w:cs="Times New Roman"/>
                <w:color w:val="000000"/>
              </w:rPr>
            </w:pPr>
            <w:r>
              <w:rPr>
                <w:rFonts w:ascii="Garamond" w:hAnsi="Garamond" w:cs="Times New Roman"/>
                <w:color w:val="000000"/>
              </w:rPr>
              <w:t>Strategic Plan Goal 6.1</w:t>
            </w:r>
            <w:r w:rsidR="002D49D2">
              <w:rPr>
                <w:rFonts w:ascii="Garamond" w:hAnsi="Garamond" w:cs="Times New Roman"/>
                <w:color w:val="000000"/>
              </w:rPr>
              <w:t>: Achieve recognition as a best practices</w:t>
            </w:r>
            <w:r>
              <w:rPr>
                <w:rFonts w:ascii="Garamond" w:hAnsi="Garamond" w:cs="Times New Roman"/>
                <w:color w:val="000000"/>
              </w:rPr>
              <w:t xml:space="preserve"> institutionby:</w:t>
            </w:r>
          </w:p>
          <w:p w:rsidR="004E17F8" w:rsidRPr="002709DE" w:rsidRDefault="004E17F8" w:rsidP="004E17F8">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Exhibiting qualit</w:t>
            </w:r>
            <w:r w:rsidR="002D49D2">
              <w:rPr>
                <w:rFonts w:ascii="Garamond" w:hAnsi="Garamond" w:cs="Times New Roman"/>
                <w:color w:val="000000"/>
              </w:rPr>
              <w:t xml:space="preserve">y, excellence, and integrity </w:t>
            </w:r>
            <w:r w:rsidR="00590BEA">
              <w:rPr>
                <w:rFonts w:ascii="Garamond" w:hAnsi="Garamond" w:cs="Times New Roman"/>
                <w:color w:val="000000"/>
              </w:rPr>
              <w:t xml:space="preserve">through </w:t>
            </w:r>
            <w:r>
              <w:rPr>
                <w:rFonts w:ascii="Garamond" w:hAnsi="Garamond" w:cs="Times New Roman"/>
                <w:color w:val="000000"/>
              </w:rPr>
              <w:t>employees</w:t>
            </w:r>
            <w:r w:rsidR="00590BEA">
              <w:rPr>
                <w:rFonts w:ascii="Garamond" w:hAnsi="Garamond" w:cs="Times New Roman"/>
                <w:color w:val="000000"/>
              </w:rPr>
              <w:t>, students,</w:t>
            </w:r>
            <w:r>
              <w:rPr>
                <w:rFonts w:ascii="Garamond" w:hAnsi="Garamond" w:cs="Times New Roman"/>
                <w:color w:val="000000"/>
              </w:rPr>
              <w:t xml:space="preserve"> and graduates;</w:t>
            </w:r>
          </w:p>
          <w:p w:rsidR="004E17F8" w:rsidRDefault="004E17F8" w:rsidP="00295498">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Meeting and/or exceeding accreditation standards at all times; and</w:t>
            </w:r>
          </w:p>
          <w:p w:rsidR="004E17F8" w:rsidRPr="002709DE" w:rsidRDefault="00F3517C" w:rsidP="00295498">
            <w:pPr>
              <w:pStyle w:val="ListParagraph"/>
              <w:numPr>
                <w:ilvl w:val="0"/>
                <w:numId w:val="14"/>
              </w:numPr>
              <w:spacing w:before="100" w:beforeAutospacing="1"/>
              <w:rPr>
                <w:rFonts w:ascii="Garamond" w:hAnsi="Garamond" w:cs="Times New Roman"/>
                <w:color w:val="000000"/>
              </w:rPr>
            </w:pPr>
            <w:r>
              <w:rPr>
                <w:rFonts w:ascii="Garamond" w:hAnsi="Garamond" w:cs="Times New Roman"/>
                <w:color w:val="000000"/>
              </w:rPr>
              <w:t>Exploring additional models of quality assurance.</w:t>
            </w:r>
          </w:p>
        </w:tc>
      </w:tr>
    </w:tbl>
    <w:p w:rsidR="004E17F8" w:rsidRDefault="004E17F8" w:rsidP="004E17F8">
      <w:pPr>
        <w:spacing w:before="100" w:beforeAutospacing="1"/>
        <w:rPr>
          <w:rFonts w:ascii="Garamond" w:hAnsi="Garamond" w:cs="Times New Roman"/>
        </w:rPr>
      </w:pPr>
      <w:r w:rsidRPr="00892469">
        <w:rPr>
          <w:rFonts w:ascii="Garamond" w:hAnsi="Garamond" w:cs="Times New Roman"/>
          <w:color w:val="1F497D" w:themeColor="text2"/>
        </w:rPr>
        <w:t>Measures of Success</w:t>
      </w:r>
    </w:p>
    <w:p w:rsidR="004E17F8" w:rsidRDefault="002D49D2" w:rsidP="004E17F8">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 xml:space="preserve">Recognition </w:t>
      </w:r>
      <w:r w:rsidR="00295498">
        <w:rPr>
          <w:rFonts w:ascii="Garamond" w:hAnsi="Garamond" w:cs="Times New Roman"/>
          <w:color w:val="000000"/>
        </w:rPr>
        <w:t>of excellence</w:t>
      </w:r>
    </w:p>
    <w:p w:rsidR="00295498" w:rsidRDefault="00295498" w:rsidP="004E17F8">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Accreditation affirmation</w:t>
      </w:r>
    </w:p>
    <w:p w:rsidR="00F37C7B" w:rsidRDefault="00DE1ECC" w:rsidP="004E17F8">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Employer surveys (of students)</w:t>
      </w:r>
    </w:p>
    <w:p w:rsidR="00DE1ECC" w:rsidRDefault="00590BEA" w:rsidP="004E17F8">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Employee performance evaluations</w:t>
      </w:r>
    </w:p>
    <w:p w:rsidR="00CC0594" w:rsidRDefault="00590BEA" w:rsidP="00C8418A">
      <w:pPr>
        <w:pStyle w:val="ListParagraph"/>
        <w:numPr>
          <w:ilvl w:val="0"/>
          <w:numId w:val="12"/>
        </w:numPr>
        <w:spacing w:before="100" w:beforeAutospacing="1"/>
        <w:rPr>
          <w:rFonts w:ascii="Garamond" w:hAnsi="Garamond" w:cs="Times New Roman"/>
          <w:color w:val="000000"/>
        </w:rPr>
      </w:pPr>
      <w:r>
        <w:rPr>
          <w:rFonts w:ascii="Garamond" w:hAnsi="Garamond" w:cs="Times New Roman"/>
          <w:color w:val="000000"/>
        </w:rPr>
        <w:t>Program reviews (continuous quality improvement)</w:t>
      </w:r>
    </w:p>
    <w:p w:rsidR="00764735" w:rsidRDefault="00764735" w:rsidP="00764735">
      <w:pPr>
        <w:spacing w:before="100" w:beforeAutospacing="1"/>
        <w:rPr>
          <w:rFonts w:ascii="Garamond" w:hAnsi="Garamond" w:cs="Times New Roman"/>
          <w:color w:val="1F497D" w:themeColor="text2"/>
        </w:rPr>
      </w:pPr>
    </w:p>
    <w:tbl>
      <w:tblPr>
        <w:tblStyle w:val="TableGrid"/>
        <w:tblW w:w="0" w:type="auto"/>
        <w:tblLook w:val="04A0"/>
      </w:tblPr>
      <w:tblGrid>
        <w:gridCol w:w="4258"/>
        <w:gridCol w:w="4258"/>
      </w:tblGrid>
      <w:tr w:rsidR="00764735">
        <w:tc>
          <w:tcPr>
            <w:tcW w:w="4258" w:type="dxa"/>
          </w:tcPr>
          <w:p w:rsidR="00764735" w:rsidRPr="00764735" w:rsidRDefault="00764735" w:rsidP="00764735">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Original</w:t>
            </w:r>
          </w:p>
        </w:tc>
        <w:tc>
          <w:tcPr>
            <w:tcW w:w="4258" w:type="dxa"/>
          </w:tcPr>
          <w:p w:rsidR="00764735" w:rsidRPr="00764735" w:rsidRDefault="00764735" w:rsidP="00764735">
            <w:pPr>
              <w:spacing w:before="100" w:beforeAutospacing="1"/>
              <w:rPr>
                <w:rFonts w:ascii="Garamond" w:hAnsi="Garamond" w:cs="Times New Roman"/>
                <w:color w:val="4F81BD" w:themeColor="accent1"/>
              </w:rPr>
            </w:pPr>
            <w:r w:rsidRPr="00764735">
              <w:rPr>
                <w:rFonts w:ascii="Garamond" w:hAnsi="Garamond" w:cs="Times New Roman"/>
                <w:color w:val="4F81BD" w:themeColor="accent1"/>
              </w:rPr>
              <w:t>Suggested</w:t>
            </w:r>
          </w:p>
        </w:tc>
      </w:tr>
      <w:tr w:rsidR="00764735">
        <w:tc>
          <w:tcPr>
            <w:tcW w:w="4258" w:type="dxa"/>
          </w:tcPr>
          <w:p w:rsidR="00764735" w:rsidRPr="00764735" w:rsidRDefault="00764735" w:rsidP="00764735">
            <w:pPr>
              <w:pStyle w:val="ListParagraph"/>
              <w:numPr>
                <w:ilvl w:val="0"/>
                <w:numId w:val="12"/>
              </w:numPr>
              <w:spacing w:before="100" w:beforeAutospacing="1"/>
              <w:rPr>
                <w:rFonts w:ascii="Garamond" w:hAnsi="Garamond" w:cs="Times New Roman"/>
                <w:color w:val="000000"/>
              </w:rPr>
            </w:pPr>
            <w:r w:rsidRPr="00764735">
              <w:rPr>
                <w:rFonts w:ascii="Garamond" w:hAnsi="Garamond" w:cs="Times New Roman"/>
                <w:color w:val="000000"/>
              </w:rPr>
              <w:t>Recognition of excellence</w:t>
            </w:r>
          </w:p>
          <w:p w:rsidR="00764735" w:rsidRPr="00764735" w:rsidRDefault="00764735" w:rsidP="00764735">
            <w:pPr>
              <w:pStyle w:val="ListParagraph"/>
              <w:numPr>
                <w:ilvl w:val="0"/>
                <w:numId w:val="12"/>
              </w:numPr>
              <w:spacing w:before="100" w:beforeAutospacing="1"/>
              <w:rPr>
                <w:rFonts w:ascii="Garamond" w:hAnsi="Garamond" w:cs="Times New Roman"/>
                <w:color w:val="000000"/>
              </w:rPr>
            </w:pPr>
            <w:r w:rsidRPr="00764735">
              <w:rPr>
                <w:rFonts w:ascii="Garamond" w:hAnsi="Garamond" w:cs="Times New Roman"/>
                <w:color w:val="000000"/>
              </w:rPr>
              <w:t>Accreditation affirmation</w:t>
            </w:r>
          </w:p>
          <w:p w:rsidR="00764735" w:rsidRPr="00764735" w:rsidRDefault="00764735" w:rsidP="00764735">
            <w:pPr>
              <w:pStyle w:val="ListParagraph"/>
              <w:numPr>
                <w:ilvl w:val="0"/>
                <w:numId w:val="12"/>
              </w:numPr>
              <w:spacing w:before="100" w:beforeAutospacing="1"/>
              <w:rPr>
                <w:rFonts w:ascii="Garamond" w:hAnsi="Garamond" w:cs="Times New Roman"/>
                <w:color w:val="000000"/>
              </w:rPr>
            </w:pPr>
            <w:r w:rsidRPr="00764735">
              <w:rPr>
                <w:rFonts w:ascii="Garamond" w:hAnsi="Garamond" w:cs="Times New Roman"/>
                <w:color w:val="000000"/>
              </w:rPr>
              <w:t>Employer surveys (of students)</w:t>
            </w:r>
          </w:p>
          <w:p w:rsidR="00764735" w:rsidRPr="00764735" w:rsidRDefault="00764735" w:rsidP="00764735">
            <w:pPr>
              <w:pStyle w:val="ListParagraph"/>
              <w:numPr>
                <w:ilvl w:val="0"/>
                <w:numId w:val="12"/>
              </w:numPr>
              <w:spacing w:before="100" w:beforeAutospacing="1"/>
              <w:rPr>
                <w:rFonts w:ascii="Garamond" w:hAnsi="Garamond" w:cs="Times New Roman"/>
                <w:color w:val="000000"/>
              </w:rPr>
            </w:pPr>
            <w:r w:rsidRPr="00764735">
              <w:rPr>
                <w:rFonts w:ascii="Garamond" w:hAnsi="Garamond" w:cs="Times New Roman"/>
                <w:color w:val="000000"/>
              </w:rPr>
              <w:t>Employee performance evaluations</w:t>
            </w:r>
          </w:p>
          <w:p w:rsidR="00764735" w:rsidRPr="00764735" w:rsidRDefault="00764735" w:rsidP="00764735">
            <w:pPr>
              <w:pStyle w:val="ListParagraph"/>
              <w:numPr>
                <w:ilvl w:val="0"/>
                <w:numId w:val="12"/>
              </w:numPr>
              <w:spacing w:before="100" w:beforeAutospacing="1"/>
              <w:rPr>
                <w:rFonts w:ascii="Garamond" w:hAnsi="Garamond" w:cs="Times New Roman"/>
                <w:color w:val="000000"/>
              </w:rPr>
            </w:pPr>
            <w:r w:rsidRPr="00764735">
              <w:rPr>
                <w:rFonts w:ascii="Garamond" w:hAnsi="Garamond" w:cs="Times New Roman"/>
                <w:color w:val="000000"/>
              </w:rPr>
              <w:t>Program reviews (continuous quality improvement)</w:t>
            </w:r>
          </w:p>
          <w:p w:rsidR="00764735" w:rsidRPr="00764735" w:rsidRDefault="00764735" w:rsidP="00764735">
            <w:pPr>
              <w:spacing w:before="100" w:beforeAutospacing="1"/>
              <w:rPr>
                <w:rFonts w:ascii="Garamond" w:hAnsi="Garamond" w:cs="Times New Roman"/>
              </w:rPr>
            </w:pPr>
          </w:p>
        </w:tc>
        <w:tc>
          <w:tcPr>
            <w:tcW w:w="4258" w:type="dxa"/>
          </w:tcPr>
          <w:p w:rsidR="00764735" w:rsidRPr="00764735" w:rsidRDefault="00764735" w:rsidP="00764735">
            <w:pPr>
              <w:pStyle w:val="NoSpacing"/>
              <w:rPr>
                <w:rFonts w:ascii="Garamond" w:hAnsi="Garamond"/>
                <w:b/>
              </w:rPr>
            </w:pPr>
            <w:r w:rsidRPr="00764735">
              <w:rPr>
                <w:rFonts w:ascii="Garamond" w:hAnsi="Garamond"/>
                <w:b/>
              </w:rPr>
              <w:t xml:space="preserve">Internal </w:t>
            </w:r>
          </w:p>
          <w:p w:rsidR="00764735" w:rsidRPr="00764735" w:rsidRDefault="00764735" w:rsidP="00764735">
            <w:pPr>
              <w:pStyle w:val="NoSpacing"/>
              <w:numPr>
                <w:ilvl w:val="0"/>
                <w:numId w:val="26"/>
              </w:numPr>
              <w:rPr>
                <w:rFonts w:ascii="Garamond" w:hAnsi="Garamond"/>
              </w:rPr>
            </w:pPr>
            <w:r w:rsidRPr="00764735">
              <w:rPr>
                <w:rFonts w:ascii="Garamond" w:hAnsi="Garamond"/>
              </w:rPr>
              <w:t>Recognition of excellence awards</w:t>
            </w:r>
          </w:p>
          <w:p w:rsidR="00764735" w:rsidRPr="00764735" w:rsidRDefault="00764735" w:rsidP="00764735">
            <w:pPr>
              <w:pStyle w:val="NoSpacing"/>
              <w:numPr>
                <w:ilvl w:val="0"/>
                <w:numId w:val="26"/>
              </w:numPr>
              <w:rPr>
                <w:rFonts w:ascii="Garamond" w:hAnsi="Garamond"/>
              </w:rPr>
            </w:pPr>
            <w:r w:rsidRPr="00764735">
              <w:rPr>
                <w:rFonts w:ascii="Garamond" w:hAnsi="Garamond"/>
              </w:rPr>
              <w:t>Accreditation affirmation</w:t>
            </w:r>
          </w:p>
          <w:p w:rsidR="00764735" w:rsidRPr="00764735" w:rsidRDefault="00764735" w:rsidP="00764735">
            <w:pPr>
              <w:pStyle w:val="NoSpacing"/>
              <w:numPr>
                <w:ilvl w:val="0"/>
                <w:numId w:val="26"/>
              </w:numPr>
              <w:rPr>
                <w:rFonts w:ascii="Garamond" w:hAnsi="Garamond"/>
              </w:rPr>
            </w:pPr>
            <w:r w:rsidRPr="00764735">
              <w:rPr>
                <w:rFonts w:ascii="Garamond" w:hAnsi="Garamond"/>
              </w:rPr>
              <w:t>College satisfaction surveys</w:t>
            </w:r>
          </w:p>
          <w:p w:rsidR="00764735" w:rsidRPr="00764735" w:rsidRDefault="00764735" w:rsidP="00764735">
            <w:pPr>
              <w:pStyle w:val="NoSpacing"/>
              <w:numPr>
                <w:ilvl w:val="0"/>
                <w:numId w:val="26"/>
              </w:numPr>
              <w:rPr>
                <w:rFonts w:ascii="Garamond" w:hAnsi="Garamond"/>
              </w:rPr>
            </w:pPr>
            <w:r w:rsidRPr="00764735">
              <w:rPr>
                <w:rFonts w:ascii="Garamond" w:hAnsi="Garamond"/>
              </w:rPr>
              <w:t>Percent of program reviews meeting highest quality standards</w:t>
            </w:r>
          </w:p>
          <w:p w:rsidR="00764735" w:rsidRPr="00764735" w:rsidRDefault="00764735" w:rsidP="00764735">
            <w:pPr>
              <w:pStyle w:val="NoSpacing"/>
              <w:numPr>
                <w:ilvl w:val="0"/>
                <w:numId w:val="26"/>
              </w:numPr>
              <w:rPr>
                <w:rFonts w:ascii="Garamond" w:hAnsi="Garamond"/>
              </w:rPr>
            </w:pPr>
            <w:r w:rsidRPr="00764735">
              <w:rPr>
                <w:rFonts w:ascii="Garamond" w:hAnsi="Garamond"/>
              </w:rPr>
              <w:t>Percent of employee performance evaluations showing improvement in targeted areas</w:t>
            </w:r>
          </w:p>
          <w:p w:rsidR="00764735" w:rsidRPr="00764735" w:rsidRDefault="00764735" w:rsidP="00764735">
            <w:pPr>
              <w:pStyle w:val="NoSpacing"/>
              <w:rPr>
                <w:rFonts w:ascii="Garamond" w:hAnsi="Garamond"/>
                <w:b/>
              </w:rPr>
            </w:pPr>
            <w:r w:rsidRPr="00764735">
              <w:rPr>
                <w:rFonts w:ascii="Garamond" w:hAnsi="Garamond"/>
                <w:b/>
              </w:rPr>
              <w:t>External</w:t>
            </w:r>
          </w:p>
          <w:p w:rsidR="00764735" w:rsidRPr="00764735" w:rsidRDefault="00764735" w:rsidP="00764735">
            <w:pPr>
              <w:pStyle w:val="NoSpacing"/>
              <w:numPr>
                <w:ilvl w:val="0"/>
                <w:numId w:val="27"/>
              </w:numPr>
              <w:rPr>
                <w:rFonts w:ascii="Garamond" w:hAnsi="Garamond"/>
                <w:b/>
              </w:rPr>
            </w:pPr>
            <w:r w:rsidRPr="00764735">
              <w:rPr>
                <w:rFonts w:ascii="Garamond" w:hAnsi="Garamond"/>
              </w:rPr>
              <w:t>Employer surveys of graduates</w:t>
            </w:r>
          </w:p>
          <w:p w:rsidR="00764735" w:rsidRPr="00764735" w:rsidRDefault="00764735" w:rsidP="00764735">
            <w:pPr>
              <w:pStyle w:val="NoSpacing"/>
              <w:numPr>
                <w:ilvl w:val="0"/>
                <w:numId w:val="27"/>
              </w:numPr>
              <w:rPr>
                <w:rFonts w:ascii="Garamond" w:hAnsi="Garamond"/>
                <w:b/>
              </w:rPr>
            </w:pPr>
            <w:r w:rsidRPr="00764735">
              <w:rPr>
                <w:rFonts w:ascii="Garamond" w:hAnsi="Garamond"/>
              </w:rPr>
              <w:t>Employer surveys of interns</w:t>
            </w:r>
          </w:p>
          <w:p w:rsidR="00764735" w:rsidRPr="00764735" w:rsidRDefault="00764735" w:rsidP="00764735">
            <w:pPr>
              <w:pStyle w:val="NoSpacing"/>
              <w:numPr>
                <w:ilvl w:val="0"/>
                <w:numId w:val="27"/>
              </w:numPr>
              <w:rPr>
                <w:rFonts w:ascii="Garamond" w:hAnsi="Garamond"/>
                <w:b/>
              </w:rPr>
            </w:pPr>
            <w:r w:rsidRPr="00764735">
              <w:rPr>
                <w:rFonts w:ascii="Garamond" w:hAnsi="Garamond"/>
              </w:rPr>
              <w:t xml:space="preserve">Community surveys </w:t>
            </w:r>
          </w:p>
          <w:p w:rsidR="00764735" w:rsidRPr="00764735" w:rsidRDefault="00764735" w:rsidP="00764735">
            <w:pPr>
              <w:pStyle w:val="NoSpacing"/>
              <w:numPr>
                <w:ilvl w:val="0"/>
                <w:numId w:val="27"/>
              </w:numPr>
              <w:rPr>
                <w:rFonts w:ascii="Garamond" w:hAnsi="Garamond"/>
              </w:rPr>
            </w:pPr>
            <w:r w:rsidRPr="00764735">
              <w:rPr>
                <w:rFonts w:ascii="Garamond" w:hAnsi="Garamond"/>
              </w:rPr>
              <w:t>Alumni surveys</w:t>
            </w:r>
          </w:p>
          <w:p w:rsidR="00764735" w:rsidRPr="00764735" w:rsidRDefault="00764735" w:rsidP="00764735">
            <w:pPr>
              <w:pStyle w:val="NoSpacing"/>
              <w:numPr>
                <w:ilvl w:val="0"/>
                <w:numId w:val="27"/>
              </w:numPr>
              <w:rPr>
                <w:rFonts w:ascii="Garamond" w:hAnsi="Garamond"/>
              </w:rPr>
            </w:pPr>
            <w:r w:rsidRPr="00764735">
              <w:rPr>
                <w:rFonts w:ascii="Garamond" w:hAnsi="Garamond"/>
              </w:rPr>
              <w:t>Survey of FSM political and traditional  leadership on perceptions of the college</w:t>
            </w:r>
          </w:p>
        </w:tc>
      </w:tr>
    </w:tbl>
    <w:p w:rsidR="00764735" w:rsidRDefault="00764735" w:rsidP="00764735">
      <w:pPr>
        <w:spacing w:before="100" w:beforeAutospacing="1"/>
        <w:rPr>
          <w:rFonts w:ascii="Garamond" w:hAnsi="Garamond" w:cs="Times New Roman"/>
        </w:rPr>
      </w:pPr>
    </w:p>
    <w:p w:rsidR="00764735" w:rsidRPr="00764735" w:rsidRDefault="00764735" w:rsidP="00764735">
      <w:pPr>
        <w:spacing w:before="100" w:beforeAutospacing="1"/>
        <w:rPr>
          <w:rFonts w:ascii="Garamond" w:hAnsi="Garamond" w:cs="Times New Roman"/>
          <w:color w:val="000000"/>
        </w:rPr>
      </w:pPr>
    </w:p>
    <w:p w:rsidR="00C8418A" w:rsidRPr="00C8418A" w:rsidRDefault="00C8418A" w:rsidP="00C8418A">
      <w:pPr>
        <w:spacing w:before="100" w:beforeAutospacing="1"/>
        <w:rPr>
          <w:rFonts w:ascii="Garamond" w:hAnsi="Garamond" w:cs="Times New Roman"/>
          <w:color w:val="000000"/>
          <w:sz w:val="32"/>
          <w:szCs w:val="32"/>
        </w:rPr>
      </w:pPr>
      <w:r w:rsidRPr="00C8418A">
        <w:rPr>
          <w:rFonts w:ascii="Garamond" w:hAnsi="Garamond" w:cs="Times New Roman"/>
          <w:b/>
          <w:bCs/>
          <w:color w:val="1F497D"/>
          <w:sz w:val="32"/>
          <w:szCs w:val="32"/>
        </w:rPr>
        <w:t>Mission</w:t>
      </w:r>
    </w:p>
    <w:p w:rsidR="00C8418A" w:rsidRPr="00C8418A" w:rsidRDefault="00C8418A" w:rsidP="00C8418A">
      <w:pPr>
        <w:spacing w:before="100" w:beforeAutospacing="1"/>
        <w:rPr>
          <w:rFonts w:ascii="Garamond" w:hAnsi="Garamond" w:cs="Times New Roman"/>
          <w:color w:val="000000"/>
        </w:rPr>
      </w:pPr>
      <w:r w:rsidRPr="00C8418A">
        <w:rPr>
          <w:rFonts w:ascii="Garamond" w:hAnsi="Garamond" w:cs="Times New Roman"/>
          <w:b/>
          <w:bCs/>
          <w:i/>
          <w:iCs/>
          <w:color w:val="000000"/>
        </w:rPr>
        <w:t xml:space="preserve">Existing: </w:t>
      </w:r>
      <w:r w:rsidRPr="00C8418A">
        <w:rPr>
          <w:rFonts w:ascii="Garamond" w:hAnsi="Garamond" w:cs="Times New Roman"/>
          <w:i/>
          <w:iCs/>
          <w:color w:val="000000"/>
        </w:rPr>
        <w:t>Historically diverse, uniquely Micronesian and globally connected, the College of Micronesia-FSM is a continuously improving and student-centered institute of higher education. The college is committed to assisting in the development of the Federated States of Micronesia by providing academic, career and technical educational opportunities for student learning.</w:t>
      </w:r>
    </w:p>
    <w:p w:rsidR="002954C1" w:rsidRPr="00764735" w:rsidRDefault="00C8418A" w:rsidP="00C8418A">
      <w:pPr>
        <w:spacing w:before="100" w:beforeAutospacing="1"/>
        <w:rPr>
          <w:rFonts w:ascii="Garamond" w:hAnsi="Garamond" w:cs="Times New Roman"/>
          <w:color w:val="000000"/>
        </w:rPr>
      </w:pPr>
      <w:r w:rsidRPr="00C8418A">
        <w:rPr>
          <w:rFonts w:ascii="Garamond" w:hAnsi="Garamond" w:cs="Times New Roman"/>
          <w:b/>
          <w:bCs/>
          <w:color w:val="1F497D"/>
        </w:rPr>
        <w:t>Identified problematic terms: “uniquely,” “committed,” “assisting,” “globally,” and “development.</w:t>
      </w:r>
    </w:p>
    <w:p w:rsidR="00C8418A" w:rsidRPr="00C8418A" w:rsidRDefault="00C8418A" w:rsidP="00C8418A">
      <w:pPr>
        <w:spacing w:before="100" w:beforeAutospacing="1"/>
        <w:rPr>
          <w:rFonts w:ascii="Garamond" w:hAnsi="Garamond" w:cs="Times New Roman"/>
          <w:color w:val="000000"/>
        </w:rPr>
      </w:pPr>
      <w:r w:rsidRPr="00C8418A">
        <w:rPr>
          <w:rFonts w:ascii="Garamond" w:hAnsi="Garamond" w:cs="Times New Roman"/>
          <w:b/>
          <w:bCs/>
          <w:color w:val="000000"/>
        </w:rPr>
        <w:t xml:space="preserve">Proposed: </w:t>
      </w:r>
    </w:p>
    <w:p w:rsidR="00C8418A" w:rsidRPr="00E616E9" w:rsidRDefault="00C8418A" w:rsidP="00C8418A">
      <w:pPr>
        <w:spacing w:before="100" w:beforeAutospacing="1"/>
        <w:rPr>
          <w:rFonts w:ascii="Garamond" w:hAnsi="Garamond" w:cs="Times New Roman"/>
        </w:rPr>
      </w:pPr>
      <w:r w:rsidRPr="00C8418A">
        <w:rPr>
          <w:rFonts w:ascii="Garamond" w:hAnsi="Garamond" w:cs="Times New Roman"/>
          <w:b/>
          <w:bCs/>
          <w:color w:val="1F497D"/>
        </w:rPr>
        <w:t>Option 1</w:t>
      </w:r>
      <w:r w:rsidR="00E616E9" w:rsidRPr="00E616E9">
        <w:rPr>
          <w:rFonts w:ascii="Garamond" w:hAnsi="Garamond" w:cs="Times New Roman"/>
          <w:bCs/>
        </w:rPr>
        <w:t>(</w:t>
      </w:r>
      <w:r w:rsidR="00E616E9" w:rsidRPr="00E616E9">
        <w:rPr>
          <w:rFonts w:ascii="Garamond" w:hAnsi="Garamond" w:cs="Times New Roman"/>
          <w:bCs/>
          <w:color w:val="4F81BD" w:themeColor="accent1"/>
        </w:rPr>
        <w:t>Second Highest Ranked</w:t>
      </w:r>
      <w:r w:rsidR="00E616E9" w:rsidRPr="00E616E9">
        <w:rPr>
          <w:rFonts w:ascii="Garamond" w:hAnsi="Garamond" w:cs="Times New Roman"/>
          <w:bCs/>
        </w:rPr>
        <w:t>)</w:t>
      </w:r>
    </w:p>
    <w:p w:rsidR="00C8418A" w:rsidRP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College of Micronesia-FSM is a continuously improvin</w:t>
      </w:r>
      <w:r w:rsidR="006069AF">
        <w:rPr>
          <w:rFonts w:ascii="Garamond" w:hAnsi="Garamond" w:cs="Times New Roman"/>
          <w:color w:val="000000"/>
        </w:rPr>
        <w:t>g, learner</w:t>
      </w:r>
      <w:r w:rsidRPr="00C8418A">
        <w:rPr>
          <w:rFonts w:ascii="Garamond" w:hAnsi="Garamond" w:cs="Times New Roman"/>
          <w:color w:val="000000"/>
        </w:rPr>
        <w:t>-centered institution of highe</w:t>
      </w:r>
      <w:r w:rsidR="006069AF">
        <w:rPr>
          <w:rFonts w:ascii="Garamond" w:hAnsi="Garamond" w:cs="Times New Roman"/>
          <w:color w:val="000000"/>
        </w:rPr>
        <w:t>r education delivering relevant</w:t>
      </w:r>
      <w:r w:rsidRPr="00C8418A">
        <w:rPr>
          <w:rFonts w:ascii="Garamond" w:hAnsi="Garamond" w:cs="Times New Roman"/>
          <w:color w:val="000000"/>
        </w:rPr>
        <w:t xml:space="preserve"> programs and services that maximize national, student, and stakeholder opportunities. </w:t>
      </w:r>
    </w:p>
    <w:p w:rsidR="00C8418A" w:rsidRPr="00E616E9" w:rsidRDefault="00C8418A" w:rsidP="00C8418A">
      <w:pPr>
        <w:spacing w:before="100" w:beforeAutospacing="1"/>
        <w:rPr>
          <w:rFonts w:ascii="Garamond" w:hAnsi="Garamond" w:cs="Times New Roman"/>
        </w:rPr>
      </w:pPr>
      <w:r w:rsidRPr="00C8418A">
        <w:rPr>
          <w:rFonts w:ascii="Garamond" w:hAnsi="Garamond" w:cs="Times New Roman"/>
          <w:b/>
          <w:bCs/>
          <w:color w:val="1F497D"/>
        </w:rPr>
        <w:t xml:space="preserve">Option </w:t>
      </w:r>
      <w:r w:rsidR="00033927">
        <w:rPr>
          <w:rFonts w:ascii="Garamond" w:hAnsi="Garamond" w:cs="Times New Roman"/>
          <w:b/>
          <w:bCs/>
          <w:color w:val="1F497D"/>
        </w:rPr>
        <w:t>2</w:t>
      </w:r>
      <w:r w:rsidR="00E616E9" w:rsidRPr="00E616E9">
        <w:rPr>
          <w:rFonts w:ascii="Garamond" w:hAnsi="Garamond" w:cs="Times New Roman"/>
          <w:bCs/>
        </w:rPr>
        <w:t>(</w:t>
      </w:r>
      <w:r w:rsidR="00E616E9" w:rsidRPr="00E616E9">
        <w:rPr>
          <w:rFonts w:ascii="Garamond" w:hAnsi="Garamond" w:cs="Times New Roman"/>
          <w:bCs/>
          <w:color w:val="4F81BD" w:themeColor="accent1"/>
        </w:rPr>
        <w:t>Highest Ranked</w:t>
      </w:r>
      <w:r w:rsidR="00E616E9" w:rsidRPr="00E616E9">
        <w:rPr>
          <w:rFonts w:ascii="Garamond" w:hAnsi="Garamond" w:cs="Times New Roman"/>
          <w:bCs/>
        </w:rPr>
        <w:t>)</w:t>
      </w:r>
    </w:p>
    <w:p w:rsidR="00C8418A" w:rsidRPr="00C8418A" w:rsidRDefault="00C8418A" w:rsidP="00C8418A">
      <w:pPr>
        <w:spacing w:before="100" w:beforeAutospacing="1"/>
        <w:rPr>
          <w:rFonts w:ascii="Garamond" w:hAnsi="Garamond" w:cs="Times New Roman"/>
          <w:color w:val="000000"/>
        </w:rPr>
      </w:pPr>
      <w:r w:rsidRPr="00C8418A">
        <w:rPr>
          <w:rFonts w:ascii="Garamond" w:hAnsi="Garamond" w:cs="Times New Roman"/>
          <w:color w:val="000000"/>
        </w:rPr>
        <w:t>Histori</w:t>
      </w:r>
      <w:r w:rsidR="006426FC">
        <w:rPr>
          <w:rFonts w:ascii="Garamond" w:hAnsi="Garamond" w:cs="Times New Roman"/>
          <w:color w:val="000000"/>
        </w:rPr>
        <w:t xml:space="preserve">cally diverse and </w:t>
      </w:r>
      <w:r w:rsidRPr="00C8418A">
        <w:rPr>
          <w:rFonts w:ascii="Garamond" w:hAnsi="Garamond" w:cs="Times New Roman"/>
          <w:color w:val="000000"/>
        </w:rPr>
        <w:t>globally connected, the College of Micronesia-FSM is a co</w:t>
      </w:r>
      <w:r w:rsidR="00BD74D9">
        <w:rPr>
          <w:rFonts w:ascii="Garamond" w:hAnsi="Garamond" w:cs="Times New Roman"/>
          <w:color w:val="000000"/>
        </w:rPr>
        <w:t>ntinuously improving and learner</w:t>
      </w:r>
      <w:r w:rsidR="006426FC">
        <w:rPr>
          <w:rFonts w:ascii="Garamond" w:hAnsi="Garamond" w:cs="Times New Roman"/>
          <w:color w:val="000000"/>
        </w:rPr>
        <w:t>-centered institution</w:t>
      </w:r>
      <w:r w:rsidRPr="00C8418A">
        <w:rPr>
          <w:rFonts w:ascii="Garamond" w:hAnsi="Garamond" w:cs="Times New Roman"/>
          <w:color w:val="000000"/>
        </w:rPr>
        <w:t xml:space="preserve"> of higher education. The college is committed to assisting in the development of the Federated States of Micronesia by providing academic, career and technical educational opportunities for student learning</w:t>
      </w:r>
      <w:r w:rsidRPr="00C8418A">
        <w:rPr>
          <w:rFonts w:ascii="Garamond" w:hAnsi="Garamond" w:cs="Times New Roman"/>
          <w:i/>
          <w:iCs/>
          <w:color w:val="000000"/>
        </w:rPr>
        <w:t>.</w:t>
      </w:r>
    </w:p>
    <w:p w:rsidR="00033927" w:rsidRPr="00E616E9" w:rsidRDefault="00033927" w:rsidP="00033927">
      <w:pPr>
        <w:spacing w:before="100" w:beforeAutospacing="1"/>
        <w:rPr>
          <w:rFonts w:ascii="Garamond" w:hAnsi="Garamond" w:cs="Times New Roman"/>
        </w:rPr>
      </w:pPr>
      <w:r w:rsidRPr="00C8418A">
        <w:rPr>
          <w:rFonts w:ascii="Garamond" w:hAnsi="Garamond" w:cs="Times New Roman"/>
          <w:b/>
          <w:bCs/>
          <w:color w:val="18376A"/>
        </w:rPr>
        <w:t xml:space="preserve">Option </w:t>
      </w:r>
      <w:r w:rsidR="00BD74D9">
        <w:rPr>
          <w:rFonts w:ascii="Garamond" w:hAnsi="Garamond" w:cs="Times New Roman"/>
          <w:b/>
          <w:bCs/>
          <w:color w:val="18376A"/>
        </w:rPr>
        <w:t>3</w:t>
      </w:r>
      <w:r w:rsidR="00E616E9" w:rsidRPr="00E616E9">
        <w:rPr>
          <w:rFonts w:ascii="Garamond" w:hAnsi="Garamond" w:cs="Times New Roman"/>
          <w:bCs/>
        </w:rPr>
        <w:t>(</w:t>
      </w:r>
      <w:r w:rsidR="00E616E9" w:rsidRPr="00E616E9">
        <w:rPr>
          <w:rFonts w:ascii="Garamond" w:hAnsi="Garamond" w:cs="Times New Roman"/>
          <w:bCs/>
          <w:color w:val="4F81BD" w:themeColor="accent1"/>
        </w:rPr>
        <w:t>Ranked last</w:t>
      </w:r>
      <w:r w:rsidR="00E616E9" w:rsidRPr="00E616E9">
        <w:rPr>
          <w:rFonts w:ascii="Garamond" w:hAnsi="Garamond" w:cs="Times New Roman"/>
          <w:bCs/>
        </w:rPr>
        <w:t xml:space="preserve">, </w:t>
      </w:r>
      <w:r w:rsidR="00E616E9" w:rsidRPr="00E616E9">
        <w:rPr>
          <w:rFonts w:ascii="Garamond" w:hAnsi="Garamond" w:cs="Times New Roman"/>
          <w:bCs/>
          <w:sz w:val="20"/>
          <w:szCs w:val="20"/>
        </w:rPr>
        <w:t>but because the Rating Means were close Executive Committee opted to present all three to the Board of Regents</w:t>
      </w:r>
      <w:r w:rsidR="00E616E9" w:rsidRPr="00E616E9">
        <w:rPr>
          <w:rFonts w:ascii="Garamond" w:hAnsi="Garamond" w:cs="Times New Roman"/>
          <w:bCs/>
        </w:rPr>
        <w:t>)</w:t>
      </w:r>
    </w:p>
    <w:p w:rsidR="00033927" w:rsidRPr="00E616E9" w:rsidRDefault="00033927" w:rsidP="00C8418A">
      <w:pPr>
        <w:spacing w:before="100" w:beforeAutospacing="1"/>
        <w:rPr>
          <w:rFonts w:ascii="Garamond" w:hAnsi="Garamond" w:cs="Times New Roman"/>
          <w:color w:val="000000"/>
        </w:rPr>
      </w:pPr>
      <w:r w:rsidRPr="00E616E9">
        <w:rPr>
          <w:rFonts w:ascii="Garamond" w:hAnsi="Garamond" w:cs="Times New Roman"/>
          <w:color w:val="000000"/>
        </w:rPr>
        <w:t>The College of Micronesia-FSM is a continuously i</w:t>
      </w:r>
      <w:r w:rsidR="006069AF" w:rsidRPr="00E616E9">
        <w:rPr>
          <w:rFonts w:ascii="Garamond" w:hAnsi="Garamond" w:cs="Times New Roman"/>
          <w:color w:val="000000"/>
        </w:rPr>
        <w:t>mproving best practices learner-</w:t>
      </w:r>
      <w:r w:rsidRPr="00E616E9">
        <w:rPr>
          <w:rFonts w:ascii="Garamond" w:hAnsi="Garamond" w:cs="Times New Roman"/>
          <w:color w:val="000000"/>
        </w:rPr>
        <w:t xml:space="preserve">centered institution of higher </w:t>
      </w:r>
      <w:r w:rsidR="006069AF" w:rsidRPr="00E616E9">
        <w:rPr>
          <w:rFonts w:ascii="Garamond" w:hAnsi="Garamond" w:cs="Times New Roman"/>
          <w:color w:val="000000"/>
        </w:rPr>
        <w:t>education committed to the success of</w:t>
      </w:r>
      <w:r w:rsidRPr="00E616E9">
        <w:rPr>
          <w:rFonts w:ascii="Garamond" w:hAnsi="Garamond" w:cs="Times New Roman"/>
          <w:color w:val="000000"/>
        </w:rPr>
        <w:t xml:space="preserve"> the Federated States of Micronesia by providing academic, career and technical educ</w:t>
      </w:r>
      <w:r w:rsidR="006069AF" w:rsidRPr="00E616E9">
        <w:rPr>
          <w:rFonts w:ascii="Garamond" w:hAnsi="Garamond" w:cs="Times New Roman"/>
          <w:color w:val="000000"/>
        </w:rPr>
        <w:t>ational programs</w:t>
      </w:r>
      <w:r w:rsidRPr="00E616E9">
        <w:rPr>
          <w:rFonts w:ascii="Garamond" w:hAnsi="Garamond" w:cs="Times New Roman"/>
          <w:color w:val="000000"/>
        </w:rPr>
        <w:t>.</w:t>
      </w:r>
    </w:p>
    <w:p w:rsidR="002954C1" w:rsidRDefault="002954C1" w:rsidP="00C8418A">
      <w:pPr>
        <w:spacing w:before="100" w:beforeAutospacing="1"/>
        <w:rPr>
          <w:rFonts w:ascii="Garamond" w:hAnsi="Garamond" w:cs="Times New Roman"/>
          <w:b/>
          <w:bCs/>
          <w:color w:val="4F81BD"/>
        </w:rPr>
      </w:pPr>
      <w:r>
        <w:rPr>
          <w:rFonts w:ascii="Garamond" w:hAnsi="Garamond" w:cs="Times New Roman"/>
          <w:b/>
          <w:bCs/>
          <w:noProof/>
          <w:color w:val="4F81BD"/>
        </w:rPr>
        <w:drawing>
          <wp:inline distT="0" distB="0" distL="0" distR="0">
            <wp:extent cx="4456710" cy="2360495"/>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457572" cy="2360951"/>
                    </a:xfrm>
                    <a:prstGeom prst="rect">
                      <a:avLst/>
                    </a:prstGeom>
                    <a:noFill/>
                    <a:ln>
                      <a:noFill/>
                    </a:ln>
                  </pic:spPr>
                </pic:pic>
              </a:graphicData>
            </a:graphic>
          </wp:inline>
        </w:drawing>
      </w:r>
    </w:p>
    <w:tbl>
      <w:tblPr>
        <w:tblStyle w:val="TableGrid"/>
        <w:tblW w:w="0" w:type="auto"/>
        <w:tblLook w:val="04A0"/>
      </w:tblPr>
      <w:tblGrid>
        <w:gridCol w:w="1573"/>
        <w:gridCol w:w="1436"/>
        <w:gridCol w:w="1439"/>
        <w:gridCol w:w="1189"/>
        <w:gridCol w:w="1559"/>
        <w:gridCol w:w="1660"/>
      </w:tblGrid>
      <w:tr w:rsidR="00346285">
        <w:tc>
          <w:tcPr>
            <w:tcW w:w="1573" w:type="dxa"/>
          </w:tcPr>
          <w:p w:rsidR="00346285" w:rsidRPr="00346285" w:rsidRDefault="00346285" w:rsidP="00C8418A">
            <w:pPr>
              <w:spacing w:before="100" w:beforeAutospacing="1"/>
              <w:rPr>
                <w:rFonts w:ascii="Garamond" w:hAnsi="Garamond" w:cs="Times New Roman"/>
                <w:bCs/>
                <w:sz w:val="20"/>
                <w:szCs w:val="20"/>
              </w:rPr>
            </w:pPr>
            <w:r w:rsidRPr="00346285">
              <w:rPr>
                <w:rFonts w:ascii="Garamond" w:hAnsi="Garamond" w:cs="Times New Roman"/>
                <w:bCs/>
                <w:sz w:val="20"/>
                <w:szCs w:val="20"/>
              </w:rPr>
              <w:t>Answer Options</w:t>
            </w:r>
          </w:p>
        </w:tc>
        <w:tc>
          <w:tcPr>
            <w:tcW w:w="1436" w:type="dxa"/>
          </w:tcPr>
          <w:p w:rsidR="00346285" w:rsidRPr="00346285" w:rsidRDefault="00346285" w:rsidP="00C8418A">
            <w:pPr>
              <w:spacing w:before="100" w:beforeAutospacing="1"/>
              <w:rPr>
                <w:rFonts w:ascii="Garamond" w:hAnsi="Garamond" w:cs="Times New Roman"/>
                <w:bCs/>
                <w:sz w:val="20"/>
                <w:szCs w:val="20"/>
              </w:rPr>
            </w:pPr>
            <w:r w:rsidRPr="00346285">
              <w:rPr>
                <w:rFonts w:ascii="Garamond" w:hAnsi="Garamond" w:cs="Times New Roman"/>
                <w:bCs/>
                <w:sz w:val="20"/>
                <w:szCs w:val="20"/>
              </w:rPr>
              <w:t>1</w:t>
            </w:r>
          </w:p>
        </w:tc>
        <w:tc>
          <w:tcPr>
            <w:tcW w:w="1439" w:type="dxa"/>
          </w:tcPr>
          <w:p w:rsidR="00346285" w:rsidRPr="00346285" w:rsidRDefault="00346285" w:rsidP="00C8418A">
            <w:pPr>
              <w:spacing w:before="100" w:beforeAutospacing="1"/>
              <w:rPr>
                <w:rFonts w:ascii="Garamond" w:hAnsi="Garamond" w:cs="Times New Roman"/>
                <w:bCs/>
                <w:sz w:val="20"/>
                <w:szCs w:val="20"/>
              </w:rPr>
            </w:pPr>
            <w:r w:rsidRPr="00346285">
              <w:rPr>
                <w:rFonts w:ascii="Garamond" w:hAnsi="Garamond" w:cs="Times New Roman"/>
                <w:bCs/>
                <w:sz w:val="20"/>
                <w:szCs w:val="20"/>
              </w:rPr>
              <w:t>2</w:t>
            </w:r>
          </w:p>
        </w:tc>
        <w:tc>
          <w:tcPr>
            <w:tcW w:w="1189" w:type="dxa"/>
          </w:tcPr>
          <w:p w:rsidR="00346285" w:rsidRPr="00346285" w:rsidRDefault="00346285" w:rsidP="00C8418A">
            <w:pPr>
              <w:spacing w:before="100" w:beforeAutospacing="1"/>
              <w:rPr>
                <w:rFonts w:ascii="Garamond" w:hAnsi="Garamond" w:cs="Times New Roman"/>
                <w:bCs/>
                <w:sz w:val="20"/>
                <w:szCs w:val="20"/>
              </w:rPr>
            </w:pPr>
            <w:r w:rsidRPr="00346285">
              <w:rPr>
                <w:rFonts w:ascii="Garamond" w:hAnsi="Garamond" w:cs="Times New Roman"/>
                <w:bCs/>
                <w:sz w:val="20"/>
                <w:szCs w:val="20"/>
              </w:rPr>
              <w:t>3</w:t>
            </w:r>
          </w:p>
        </w:tc>
        <w:tc>
          <w:tcPr>
            <w:tcW w:w="1559" w:type="dxa"/>
          </w:tcPr>
          <w:p w:rsidR="00346285" w:rsidRPr="00346285" w:rsidRDefault="00346285" w:rsidP="00C8418A">
            <w:pPr>
              <w:spacing w:before="100" w:beforeAutospacing="1"/>
              <w:rPr>
                <w:rFonts w:ascii="Garamond" w:hAnsi="Garamond" w:cs="Times New Roman"/>
                <w:bCs/>
                <w:sz w:val="20"/>
                <w:szCs w:val="20"/>
              </w:rPr>
            </w:pPr>
            <w:r w:rsidRPr="00346285">
              <w:rPr>
                <w:rFonts w:ascii="Garamond" w:hAnsi="Garamond" w:cs="Times New Roman"/>
                <w:bCs/>
                <w:sz w:val="20"/>
                <w:szCs w:val="20"/>
              </w:rPr>
              <w:t>Rating</w:t>
            </w:r>
            <w:r>
              <w:rPr>
                <w:rFonts w:ascii="Garamond" w:hAnsi="Garamond" w:cs="Times New Roman"/>
                <w:bCs/>
                <w:sz w:val="20"/>
                <w:szCs w:val="20"/>
              </w:rPr>
              <w:t xml:space="preserve"> Mean</w:t>
            </w:r>
          </w:p>
        </w:tc>
        <w:tc>
          <w:tcPr>
            <w:tcW w:w="1660" w:type="dxa"/>
          </w:tcPr>
          <w:p w:rsidR="00346285" w:rsidRPr="00346285" w:rsidRDefault="00346285" w:rsidP="00C8418A">
            <w:pPr>
              <w:spacing w:before="100" w:beforeAutospacing="1"/>
              <w:rPr>
                <w:rFonts w:ascii="Garamond" w:hAnsi="Garamond" w:cs="Times New Roman"/>
                <w:bCs/>
                <w:sz w:val="20"/>
                <w:szCs w:val="20"/>
              </w:rPr>
            </w:pPr>
            <w:r w:rsidRPr="00346285">
              <w:rPr>
                <w:rFonts w:ascii="Garamond" w:hAnsi="Garamond" w:cs="Times New Roman"/>
                <w:bCs/>
                <w:sz w:val="20"/>
                <w:szCs w:val="20"/>
              </w:rPr>
              <w:t>Response</w:t>
            </w:r>
            <w:r>
              <w:rPr>
                <w:rFonts w:ascii="Garamond" w:hAnsi="Garamond" w:cs="Times New Roman"/>
                <w:bCs/>
                <w:sz w:val="20"/>
                <w:szCs w:val="20"/>
              </w:rPr>
              <w:t xml:space="preserve"> Count</w:t>
            </w:r>
          </w:p>
        </w:tc>
      </w:tr>
      <w:tr w:rsidR="00346285">
        <w:tc>
          <w:tcPr>
            <w:tcW w:w="1573" w:type="dxa"/>
          </w:tcPr>
          <w:p w:rsidR="00346285" w:rsidRPr="00CB3208" w:rsidRDefault="00346285" w:rsidP="00C8418A">
            <w:pPr>
              <w:spacing w:before="100" w:beforeAutospacing="1"/>
              <w:rPr>
                <w:rFonts w:ascii="Garamond" w:hAnsi="Garamond" w:cs="Times New Roman"/>
                <w:bCs/>
                <w:sz w:val="20"/>
                <w:szCs w:val="20"/>
              </w:rPr>
            </w:pPr>
            <w:r>
              <w:rPr>
                <w:rFonts w:ascii="Garamond" w:hAnsi="Garamond" w:cs="Times New Roman"/>
                <w:bCs/>
                <w:sz w:val="20"/>
                <w:szCs w:val="20"/>
              </w:rPr>
              <w:t>Option A</w:t>
            </w:r>
          </w:p>
        </w:tc>
        <w:tc>
          <w:tcPr>
            <w:tcW w:w="1436"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64</w:t>
            </w:r>
          </w:p>
        </w:tc>
        <w:tc>
          <w:tcPr>
            <w:tcW w:w="1439"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75</w:t>
            </w:r>
          </w:p>
        </w:tc>
        <w:tc>
          <w:tcPr>
            <w:tcW w:w="1189"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65</w:t>
            </w:r>
          </w:p>
        </w:tc>
        <w:tc>
          <w:tcPr>
            <w:tcW w:w="1559" w:type="dxa"/>
          </w:tcPr>
          <w:p w:rsidR="00346285" w:rsidRPr="00CB3208" w:rsidRDefault="002954C1" w:rsidP="00C8418A">
            <w:pPr>
              <w:spacing w:before="100" w:beforeAutospacing="1"/>
              <w:rPr>
                <w:rFonts w:ascii="Garamond" w:hAnsi="Garamond" w:cs="Times New Roman"/>
                <w:bCs/>
                <w:sz w:val="20"/>
                <w:szCs w:val="20"/>
              </w:rPr>
            </w:pPr>
            <w:r w:rsidRPr="002954C1">
              <w:rPr>
                <w:rFonts w:ascii="Garamond" w:hAnsi="Garamond" w:cs="Times New Roman"/>
                <w:bCs/>
                <w:sz w:val="20"/>
                <w:szCs w:val="20"/>
                <w:highlight w:val="yellow"/>
              </w:rPr>
              <w:t>2.00</w:t>
            </w:r>
          </w:p>
        </w:tc>
        <w:tc>
          <w:tcPr>
            <w:tcW w:w="1660" w:type="dxa"/>
          </w:tcPr>
          <w:p w:rsidR="00346285" w:rsidRPr="00CB3208" w:rsidRDefault="00346285" w:rsidP="00C8418A">
            <w:pPr>
              <w:spacing w:before="100" w:beforeAutospacing="1"/>
              <w:rPr>
                <w:rFonts w:ascii="Garamond" w:hAnsi="Garamond" w:cs="Times New Roman"/>
                <w:bCs/>
                <w:sz w:val="20"/>
                <w:szCs w:val="20"/>
              </w:rPr>
            </w:pPr>
            <w:r>
              <w:rPr>
                <w:rFonts w:ascii="Garamond" w:hAnsi="Garamond" w:cs="Times New Roman"/>
                <w:bCs/>
                <w:sz w:val="20"/>
                <w:szCs w:val="20"/>
              </w:rPr>
              <w:t>204</w:t>
            </w:r>
          </w:p>
        </w:tc>
      </w:tr>
      <w:tr w:rsidR="00346285">
        <w:tc>
          <w:tcPr>
            <w:tcW w:w="1573" w:type="dxa"/>
          </w:tcPr>
          <w:p w:rsidR="00346285" w:rsidRPr="00CB3208" w:rsidRDefault="00346285" w:rsidP="00C8418A">
            <w:pPr>
              <w:spacing w:before="100" w:beforeAutospacing="1"/>
              <w:rPr>
                <w:rFonts w:ascii="Garamond" w:hAnsi="Garamond" w:cs="Times New Roman"/>
                <w:bCs/>
                <w:sz w:val="20"/>
                <w:szCs w:val="20"/>
              </w:rPr>
            </w:pPr>
            <w:r>
              <w:rPr>
                <w:rFonts w:ascii="Garamond" w:hAnsi="Garamond" w:cs="Times New Roman"/>
                <w:bCs/>
                <w:sz w:val="20"/>
                <w:szCs w:val="20"/>
              </w:rPr>
              <w:t>Option B</w:t>
            </w:r>
          </w:p>
        </w:tc>
        <w:tc>
          <w:tcPr>
            <w:tcW w:w="1436"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87</w:t>
            </w:r>
          </w:p>
        </w:tc>
        <w:tc>
          <w:tcPr>
            <w:tcW w:w="1439"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61</w:t>
            </w:r>
          </w:p>
        </w:tc>
        <w:tc>
          <w:tcPr>
            <w:tcW w:w="1189"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56</w:t>
            </w:r>
          </w:p>
        </w:tc>
        <w:tc>
          <w:tcPr>
            <w:tcW w:w="1559" w:type="dxa"/>
          </w:tcPr>
          <w:p w:rsidR="00346285" w:rsidRPr="00CB3208" w:rsidRDefault="002954C1" w:rsidP="00C8418A">
            <w:pPr>
              <w:spacing w:before="100" w:beforeAutospacing="1"/>
              <w:rPr>
                <w:rFonts w:ascii="Garamond" w:hAnsi="Garamond" w:cs="Times New Roman"/>
                <w:bCs/>
                <w:sz w:val="20"/>
                <w:szCs w:val="20"/>
              </w:rPr>
            </w:pPr>
            <w:r w:rsidRPr="002954C1">
              <w:rPr>
                <w:rFonts w:ascii="Garamond" w:hAnsi="Garamond" w:cs="Times New Roman"/>
                <w:bCs/>
                <w:sz w:val="20"/>
                <w:szCs w:val="20"/>
                <w:highlight w:val="yellow"/>
              </w:rPr>
              <w:t>1.85</w:t>
            </w:r>
          </w:p>
        </w:tc>
        <w:tc>
          <w:tcPr>
            <w:tcW w:w="1660" w:type="dxa"/>
          </w:tcPr>
          <w:p w:rsidR="00346285" w:rsidRPr="00CB3208" w:rsidRDefault="00346285" w:rsidP="00C8418A">
            <w:pPr>
              <w:spacing w:before="100" w:beforeAutospacing="1"/>
              <w:rPr>
                <w:rFonts w:ascii="Garamond" w:hAnsi="Garamond" w:cs="Times New Roman"/>
                <w:bCs/>
                <w:sz w:val="20"/>
                <w:szCs w:val="20"/>
              </w:rPr>
            </w:pPr>
            <w:r>
              <w:rPr>
                <w:rFonts w:ascii="Garamond" w:hAnsi="Garamond" w:cs="Times New Roman"/>
                <w:bCs/>
                <w:sz w:val="20"/>
                <w:szCs w:val="20"/>
              </w:rPr>
              <w:t>204</w:t>
            </w:r>
          </w:p>
        </w:tc>
      </w:tr>
      <w:tr w:rsidR="00346285">
        <w:tc>
          <w:tcPr>
            <w:tcW w:w="1573" w:type="dxa"/>
          </w:tcPr>
          <w:p w:rsidR="00346285" w:rsidRPr="00CB3208" w:rsidRDefault="00346285" w:rsidP="00C8418A">
            <w:pPr>
              <w:spacing w:before="100" w:beforeAutospacing="1"/>
              <w:rPr>
                <w:rFonts w:ascii="Garamond" w:hAnsi="Garamond" w:cs="Times New Roman"/>
                <w:bCs/>
                <w:sz w:val="20"/>
                <w:szCs w:val="20"/>
              </w:rPr>
            </w:pPr>
            <w:r>
              <w:rPr>
                <w:rFonts w:ascii="Garamond" w:hAnsi="Garamond" w:cs="Times New Roman"/>
                <w:bCs/>
                <w:sz w:val="20"/>
                <w:szCs w:val="20"/>
              </w:rPr>
              <w:t>Option C</w:t>
            </w:r>
          </w:p>
        </w:tc>
        <w:tc>
          <w:tcPr>
            <w:tcW w:w="1436"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53</w:t>
            </w:r>
          </w:p>
        </w:tc>
        <w:tc>
          <w:tcPr>
            <w:tcW w:w="1439"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68</w:t>
            </w:r>
          </w:p>
        </w:tc>
        <w:tc>
          <w:tcPr>
            <w:tcW w:w="1189"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83</w:t>
            </w:r>
          </w:p>
        </w:tc>
        <w:tc>
          <w:tcPr>
            <w:tcW w:w="1559" w:type="dxa"/>
          </w:tcPr>
          <w:p w:rsidR="00346285" w:rsidRPr="00CB3208" w:rsidRDefault="002954C1" w:rsidP="00C8418A">
            <w:pPr>
              <w:spacing w:before="100" w:beforeAutospacing="1"/>
              <w:rPr>
                <w:rFonts w:ascii="Garamond" w:hAnsi="Garamond" w:cs="Times New Roman"/>
                <w:bCs/>
                <w:sz w:val="20"/>
                <w:szCs w:val="20"/>
              </w:rPr>
            </w:pPr>
            <w:r>
              <w:rPr>
                <w:rFonts w:ascii="Garamond" w:hAnsi="Garamond" w:cs="Times New Roman"/>
                <w:bCs/>
                <w:sz w:val="20"/>
                <w:szCs w:val="20"/>
              </w:rPr>
              <w:t>2.15</w:t>
            </w:r>
          </w:p>
        </w:tc>
        <w:tc>
          <w:tcPr>
            <w:tcW w:w="1660" w:type="dxa"/>
          </w:tcPr>
          <w:p w:rsidR="00346285" w:rsidRPr="00CB3208" w:rsidRDefault="00346285" w:rsidP="00C8418A">
            <w:pPr>
              <w:spacing w:before="100" w:beforeAutospacing="1"/>
              <w:rPr>
                <w:rFonts w:ascii="Garamond" w:hAnsi="Garamond" w:cs="Times New Roman"/>
                <w:bCs/>
                <w:sz w:val="20"/>
                <w:szCs w:val="20"/>
              </w:rPr>
            </w:pPr>
            <w:r>
              <w:rPr>
                <w:rFonts w:ascii="Garamond" w:hAnsi="Garamond" w:cs="Times New Roman"/>
                <w:bCs/>
                <w:sz w:val="20"/>
                <w:szCs w:val="20"/>
              </w:rPr>
              <w:t>204</w:t>
            </w:r>
          </w:p>
        </w:tc>
      </w:tr>
    </w:tbl>
    <w:p w:rsidR="00C8418A" w:rsidRDefault="00C8418A" w:rsidP="002643E2">
      <w:pPr>
        <w:spacing w:beforeAutospacing="1" w:afterAutospacing="1"/>
        <w:ind w:left="720"/>
        <w:rPr>
          <w:rFonts w:ascii="Garamond" w:eastAsia="Times New Roman" w:hAnsi="Garamond" w:cs="Times New Roman"/>
          <w:color w:val="000000"/>
        </w:rPr>
      </w:pPr>
    </w:p>
    <w:p w:rsidR="00037E84" w:rsidRDefault="00037E84" w:rsidP="00037E84">
      <w:pPr>
        <w:spacing w:beforeAutospacing="1" w:afterAutospacing="1"/>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37E84" w:rsidRDefault="00037E84" w:rsidP="002643E2">
      <w:pPr>
        <w:spacing w:beforeAutospacing="1" w:afterAutospacing="1"/>
        <w:ind w:left="720"/>
        <w:rPr>
          <w:rFonts w:ascii="Garamond" w:eastAsia="Times New Roman" w:hAnsi="Garamond" w:cs="Times New Roman"/>
          <w:color w:val="000000"/>
        </w:rPr>
      </w:pPr>
    </w:p>
    <w:p w:rsidR="00043D33" w:rsidRDefault="00043D33" w:rsidP="002643E2">
      <w:pPr>
        <w:spacing w:beforeAutospacing="1" w:afterAutospacing="1"/>
        <w:ind w:left="720"/>
        <w:rPr>
          <w:rFonts w:ascii="Garamond" w:eastAsia="Times New Roman" w:hAnsi="Garamond" w:cs="Times New Roman"/>
          <w:color w:val="000000"/>
        </w:rPr>
        <w:sectPr w:rsidR="00043D33">
          <w:headerReference w:type="even" r:id="rId10"/>
          <w:headerReference w:type="default" r:id="rId11"/>
          <w:footerReference w:type="even" r:id="rId12"/>
          <w:footerReference w:type="default" r:id="rId13"/>
          <w:headerReference w:type="first" r:id="rId14"/>
          <w:pgSz w:w="12240" w:h="15840"/>
          <w:pgMar w:top="1440" w:right="1800" w:bottom="1440" w:left="1800" w:gutter="0"/>
          <w:docGrid w:linePitch="360"/>
        </w:sectPr>
      </w:pPr>
    </w:p>
    <w:p w:rsidR="00037E84" w:rsidRDefault="003C4C8C" w:rsidP="002643E2">
      <w:pPr>
        <w:spacing w:beforeAutospacing="1" w:afterAutospacing="1"/>
        <w:ind w:left="720"/>
        <w:rPr>
          <w:rFonts w:ascii="Garamond" w:eastAsia="Times New Roman" w:hAnsi="Garamond" w:cs="Times New Roman"/>
          <w:color w:val="000000"/>
        </w:rPr>
      </w:pPr>
      <w:r>
        <w:rPr>
          <w:rFonts w:ascii="Garamond" w:eastAsia="Times New Roman" w:hAnsi="Garamond" w:cs="Times New Roman"/>
          <w:noProof/>
          <w:color w:val="000000"/>
        </w:rPr>
        <w:pict>
          <v:shapetype id="_x0000_t202" coordsize="21600,21600" o:spt="202" path="m0,0l0,21600,21600,21600,21600,0xe">
            <v:stroke joinstyle="miter"/>
            <v:path gradientshapeok="t" o:connecttype="rect"/>
          </v:shapetype>
          <v:shape id="Text Box 10" o:spid="_x0000_s1027" type="#_x0000_t202" style="position:absolute;left:0;text-align:left;margin-left:63pt;margin-top:-17.95pt;width:225pt;height:36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E4ssCAAAQ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" filled="f" stroked="f">
            <v:textbox>
              <w:txbxContent>
                <w:p w:rsidR="002F13CA" w:rsidRPr="00C8418A" w:rsidRDefault="002F13CA" w:rsidP="002F13CA">
                  <w:pPr>
                    <w:spacing w:before="100" w:beforeAutospacing="1"/>
                    <w:rPr>
                      <w:rFonts w:ascii="Garamond" w:hAnsi="Garamond" w:cs="Times New Roman"/>
                      <w:color w:val="000000"/>
                    </w:rPr>
                  </w:pPr>
                  <w:r w:rsidRPr="00C8418A">
                    <w:rPr>
                      <w:rFonts w:ascii="Garamond" w:hAnsi="Garamond" w:cs="Times New Roman"/>
                      <w:b/>
                      <w:bCs/>
                      <w:color w:val="4F81BD"/>
                    </w:rPr>
                    <w:t>Core Values</w:t>
                  </w:r>
                </w:p>
                <w:p w:rsidR="002F13CA" w:rsidRDefault="002F13CA" w:rsidP="002F13CA">
                  <w:r w:rsidRPr="00C8418A">
                    <w:rPr>
                      <w:rFonts w:ascii="Garamond" w:hAnsi="Garamond" w:cs="Times New Roman"/>
                      <w:color w:val="000000"/>
                    </w:rPr>
                    <w:t>We believe in:</w:t>
                  </w:r>
                </w:p>
              </w:txbxContent>
            </v:textbox>
            <w10:wrap type="square"/>
          </v:shape>
        </w:pict>
      </w:r>
    </w:p>
    <w:p w:rsidR="00037E84" w:rsidRDefault="00037E84" w:rsidP="002643E2">
      <w:pPr>
        <w:spacing w:beforeAutospacing="1" w:afterAutospacing="1"/>
        <w:ind w:left="720"/>
        <w:rPr>
          <w:rFonts w:ascii="Garamond" w:eastAsia="Times New Roman" w:hAnsi="Garamond" w:cs="Times New Roman"/>
          <w:color w:val="000000"/>
        </w:rPr>
      </w:pPr>
    </w:p>
    <w:p w:rsidR="00037E84" w:rsidRPr="00C8418A" w:rsidRDefault="00BB51EE" w:rsidP="002643E2">
      <w:pPr>
        <w:spacing w:beforeAutospacing="1" w:afterAutospacing="1"/>
        <w:ind w:left="720"/>
        <w:rPr>
          <w:rFonts w:ascii="Garamond" w:eastAsia="Times New Roman" w:hAnsi="Garamond" w:cs="Times New Roman"/>
          <w:color w:val="000000"/>
        </w:rPr>
      </w:pPr>
      <w:r>
        <w:rPr>
          <w:rFonts w:ascii="Garamond" w:eastAsia="Times New Roman" w:hAnsi="Garamond" w:cs="Times New Roman"/>
          <w:noProof/>
          <w:color w:val="000000"/>
        </w:rPr>
        <w:drawing>
          <wp:inline distT="0" distB="0" distL="0" distR="0">
            <wp:extent cx="8554720" cy="3392526"/>
            <wp:effectExtent l="0" t="0" r="5080" b="1143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l="7828" t="28844" r="8627" b="28280"/>
                    <a:stretch/>
                  </pic:blipFill>
                  <pic:spPr bwMode="auto">
                    <a:xfrm>
                      <a:off x="0" y="0"/>
                      <a:ext cx="8560903" cy="3394978"/>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a:ext>
                    </a:extLst>
                  </pic:spPr>
                </pic:pic>
              </a:graphicData>
            </a:graphic>
          </wp:inline>
        </w:drawing>
      </w:r>
    </w:p>
    <w:p w:rsidR="00043D33" w:rsidRDefault="00043D33" w:rsidP="00C8418A">
      <w:pPr>
        <w:spacing w:before="100" w:beforeAutospacing="1"/>
        <w:rPr>
          <w:rFonts w:ascii="Garamond" w:hAnsi="Garamond" w:cs="Times New Roman"/>
          <w:b/>
          <w:bCs/>
          <w:color w:val="1F497D"/>
        </w:rPr>
      </w:pPr>
    </w:p>
    <w:p w:rsidR="00043D33" w:rsidRDefault="00043D33" w:rsidP="00C8418A">
      <w:pPr>
        <w:spacing w:before="100" w:beforeAutospacing="1"/>
        <w:rPr>
          <w:rFonts w:ascii="Garamond" w:hAnsi="Garamond" w:cs="Times New Roman"/>
          <w:b/>
          <w:bCs/>
          <w:color w:val="1F497D"/>
        </w:rPr>
        <w:sectPr w:rsidR="00043D33">
          <w:pgSz w:w="15840" w:h="12240" w:orient="landscape"/>
          <w:pgMar w:top="1800" w:right="1440" w:bottom="1800" w:left="1440" w:gutter="0"/>
          <w:docGrid w:linePitch="360"/>
        </w:sectPr>
      </w:pPr>
    </w:p>
    <w:p w:rsidR="00785A82" w:rsidRPr="00C8418A" w:rsidRDefault="00785A82" w:rsidP="00785A82">
      <w:pPr>
        <w:spacing w:before="100" w:beforeAutospacing="1"/>
        <w:rPr>
          <w:rFonts w:ascii="Garamond" w:hAnsi="Garamond" w:cs="Times New Roman"/>
          <w:color w:val="000000"/>
        </w:rPr>
      </w:pPr>
      <w:r w:rsidRPr="00C8418A">
        <w:rPr>
          <w:rFonts w:ascii="Garamond" w:hAnsi="Garamond" w:cs="Times New Roman"/>
          <w:b/>
          <w:bCs/>
          <w:color w:val="1F497D"/>
        </w:rPr>
        <w:t>Institutional Student Learning Outcomes</w:t>
      </w:r>
    </w:p>
    <w:p w:rsidR="00785A82" w:rsidRPr="00C8418A" w:rsidRDefault="00785A82" w:rsidP="00785A82">
      <w:pPr>
        <w:spacing w:before="100" w:beforeAutospacing="1"/>
        <w:rPr>
          <w:rFonts w:ascii="Garamond" w:hAnsi="Garamond" w:cs="Times New Roman"/>
          <w:color w:val="000000"/>
        </w:rPr>
      </w:pPr>
      <w:r>
        <w:rPr>
          <w:rFonts w:ascii="Garamond" w:hAnsi="Garamond" w:cs="Times New Roman"/>
          <w:b/>
          <w:bCs/>
          <w:color w:val="000000"/>
        </w:rPr>
        <w:t>Board Endorsed</w:t>
      </w:r>
      <w:r w:rsidRPr="00C8418A">
        <w:rPr>
          <w:rFonts w:ascii="Garamond" w:hAnsi="Garamond" w:cs="Times New Roman"/>
          <w:b/>
          <w:bCs/>
          <w:color w:val="000000"/>
        </w:rPr>
        <w:t xml:space="preserve">: </w:t>
      </w:r>
    </w:p>
    <w:p w:rsidR="00785A82" w:rsidRPr="00C8418A" w:rsidRDefault="00785A82" w:rsidP="00785A82">
      <w:pPr>
        <w:spacing w:before="100" w:beforeAutospacing="1"/>
        <w:rPr>
          <w:rFonts w:ascii="Garamond" w:hAnsi="Garamond" w:cs="Times New Roman"/>
          <w:color w:val="000000"/>
        </w:rPr>
      </w:pPr>
      <w:r w:rsidRPr="00C8418A">
        <w:rPr>
          <w:rFonts w:ascii="Garamond" w:hAnsi="Garamond" w:cs="Times New Roman"/>
          <w:color w:val="000000"/>
        </w:rPr>
        <w:t>COM-FSM graduates will demonstrate:</w:t>
      </w:r>
    </w:p>
    <w:p w:rsidR="00785A82" w:rsidRPr="00C8418A" w:rsidRDefault="00785A82" w:rsidP="00785A82">
      <w:pPr>
        <w:numPr>
          <w:ilvl w:val="0"/>
          <w:numId w:val="3"/>
        </w:numPr>
        <w:spacing w:before="100" w:beforeAutospacing="1"/>
        <w:rPr>
          <w:rFonts w:ascii="Garamond" w:hAnsi="Garamond" w:cs="Times New Roman"/>
          <w:color w:val="000000"/>
        </w:rPr>
      </w:pPr>
      <w:r w:rsidRPr="00C8418A">
        <w:rPr>
          <w:rFonts w:ascii="Garamond" w:hAnsi="Garamond" w:cs="Times New Roman"/>
          <w:b/>
          <w:bCs/>
          <w:color w:val="000000"/>
        </w:rPr>
        <w:t>Effective oral communication</w:t>
      </w:r>
      <w:r w:rsidRPr="00C8418A">
        <w:rPr>
          <w:rFonts w:ascii="Garamond" w:hAnsi="Garamond" w:cs="Times New Roman"/>
          <w:color w:val="000000"/>
        </w:rPr>
        <w:t>: capacity to deliver prepared, purposeful presentations designed to increase knowledge, to foster understanding, or to promote change in the listeners’ attitudes, values, beliefs, or behaviors.</w:t>
      </w:r>
    </w:p>
    <w:p w:rsidR="00785A82" w:rsidRPr="00C8418A" w:rsidRDefault="00785A82" w:rsidP="00785A82">
      <w:pPr>
        <w:numPr>
          <w:ilvl w:val="0"/>
          <w:numId w:val="3"/>
        </w:numPr>
        <w:spacing w:before="100" w:beforeAutospacing="1"/>
        <w:rPr>
          <w:rFonts w:ascii="Garamond" w:hAnsi="Garamond" w:cs="Times New Roman"/>
          <w:color w:val="000000"/>
        </w:rPr>
      </w:pPr>
      <w:r w:rsidRPr="00C8418A">
        <w:rPr>
          <w:rFonts w:ascii="Garamond" w:hAnsi="Garamond" w:cs="Times New Roman"/>
          <w:b/>
          <w:bCs/>
          <w:color w:val="000000"/>
        </w:rPr>
        <w:t>Effective written communication</w:t>
      </w:r>
      <w:r w:rsidRPr="00C8418A">
        <w:rPr>
          <w:rFonts w:ascii="Garamond" w:hAnsi="Garamond" w:cs="Times New Roman"/>
          <w:color w:val="000000"/>
        </w:rPr>
        <w:t>: development and expression of ideas in writing through work in many genres and styles, utilizing different writing technologies, and mixing texts, data, and images through iterative experiences across the curriculum.</w:t>
      </w:r>
    </w:p>
    <w:p w:rsidR="00785A82" w:rsidRPr="00C8418A" w:rsidRDefault="00785A82" w:rsidP="00785A82">
      <w:pPr>
        <w:numPr>
          <w:ilvl w:val="0"/>
          <w:numId w:val="3"/>
        </w:numPr>
        <w:spacing w:before="100" w:beforeAutospacing="1"/>
        <w:rPr>
          <w:rFonts w:ascii="Garamond" w:hAnsi="Garamond" w:cs="Times New Roman"/>
          <w:color w:val="000000"/>
        </w:rPr>
      </w:pPr>
      <w:r w:rsidRPr="00C8418A">
        <w:rPr>
          <w:rFonts w:ascii="Garamond" w:hAnsi="Garamond" w:cs="Times New Roman"/>
          <w:b/>
          <w:bCs/>
          <w:color w:val="000000"/>
        </w:rPr>
        <w:t>Critical thinking</w:t>
      </w:r>
      <w:r w:rsidRPr="00C8418A">
        <w:rPr>
          <w:rFonts w:ascii="Garamond" w:hAnsi="Garamond" w:cs="Times New Roman"/>
          <w:color w:val="000000"/>
        </w:rPr>
        <w:t>: a habit of mind characterized by the comprehensive exploration of issues, ideas, artifacts, and events before accepting or formulating an opinion or conclusion.</w:t>
      </w:r>
    </w:p>
    <w:p w:rsidR="00785A82" w:rsidRPr="00C8418A" w:rsidRDefault="00785A82" w:rsidP="00785A82">
      <w:pPr>
        <w:numPr>
          <w:ilvl w:val="0"/>
          <w:numId w:val="3"/>
        </w:numPr>
        <w:spacing w:before="100" w:beforeAutospacing="1"/>
        <w:rPr>
          <w:rFonts w:ascii="Garamond" w:hAnsi="Garamond" w:cs="Times New Roman"/>
          <w:color w:val="000000"/>
        </w:rPr>
      </w:pPr>
      <w:r w:rsidRPr="00C8418A">
        <w:rPr>
          <w:rFonts w:ascii="Garamond" w:hAnsi="Garamond" w:cs="Times New Roman"/>
          <w:b/>
          <w:bCs/>
          <w:color w:val="000000"/>
        </w:rPr>
        <w:t>Problem solving</w:t>
      </w:r>
      <w:r w:rsidRPr="00C8418A">
        <w:rPr>
          <w:rFonts w:ascii="Garamond" w:hAnsi="Garamond" w:cs="Times New Roman"/>
          <w:color w:val="000000"/>
        </w:rPr>
        <w:t>: capacity to design, evaluate, and implement a strategy to answer an open-ended question or achieve a desired goal.</w:t>
      </w:r>
    </w:p>
    <w:p w:rsidR="00785A82" w:rsidRPr="00C8418A" w:rsidRDefault="00785A82" w:rsidP="00785A82">
      <w:pPr>
        <w:numPr>
          <w:ilvl w:val="0"/>
          <w:numId w:val="3"/>
        </w:numPr>
        <w:spacing w:before="100" w:beforeAutospacing="1"/>
        <w:rPr>
          <w:rFonts w:ascii="Garamond" w:hAnsi="Garamond" w:cs="Times New Roman"/>
          <w:color w:val="000000"/>
        </w:rPr>
      </w:pPr>
      <w:r w:rsidRPr="00C8418A">
        <w:rPr>
          <w:rFonts w:ascii="Garamond" w:hAnsi="Garamond" w:cs="Times New Roman"/>
          <w:b/>
          <w:bCs/>
          <w:color w:val="000000"/>
        </w:rPr>
        <w:t>Intercultural knowledge and competence</w:t>
      </w:r>
      <w:r w:rsidRPr="00C8418A">
        <w:rPr>
          <w:rFonts w:ascii="Garamond" w:hAnsi="Garamond" w:cs="Times New Roman"/>
          <w:color w:val="000000"/>
        </w:rPr>
        <w:t>: a set of cognitive, affective, and behavioral skills and characteristics that support effective and appropriate interaction in a variety of cultural contexts.</w:t>
      </w:r>
    </w:p>
    <w:p w:rsidR="00785A82" w:rsidRPr="00C8418A" w:rsidRDefault="00785A82" w:rsidP="00785A82">
      <w:pPr>
        <w:numPr>
          <w:ilvl w:val="0"/>
          <w:numId w:val="3"/>
        </w:numPr>
        <w:spacing w:before="100" w:beforeAutospacing="1"/>
        <w:rPr>
          <w:rFonts w:ascii="Garamond" w:hAnsi="Garamond" w:cs="Times New Roman"/>
          <w:color w:val="000000"/>
        </w:rPr>
      </w:pPr>
      <w:r w:rsidRPr="00C8418A">
        <w:rPr>
          <w:rFonts w:ascii="Garamond" w:hAnsi="Garamond" w:cs="Times New Roman"/>
          <w:b/>
          <w:bCs/>
          <w:color w:val="000000"/>
        </w:rPr>
        <w:t>Information literacy</w:t>
      </w:r>
      <w:r w:rsidRPr="00C8418A">
        <w:rPr>
          <w:rFonts w:ascii="Garamond" w:hAnsi="Garamond" w:cs="Times New Roman"/>
          <w:color w:val="000000"/>
        </w:rPr>
        <w:t>: the ability to know when there is a need for information, to be able to identify, locate, evaluate, and effectively and responsibly use and share that information for the problem at hand.</w:t>
      </w:r>
    </w:p>
    <w:p w:rsidR="00785A82" w:rsidRPr="00C429C3" w:rsidRDefault="00785A82" w:rsidP="00785A82">
      <w:pPr>
        <w:numPr>
          <w:ilvl w:val="0"/>
          <w:numId w:val="3"/>
        </w:numPr>
        <w:spacing w:before="100" w:beforeAutospacing="1"/>
        <w:rPr>
          <w:rFonts w:ascii="Garamond" w:hAnsi="Garamond" w:cs="Times New Roman"/>
          <w:color w:val="000000"/>
        </w:rPr>
      </w:pPr>
      <w:r w:rsidRPr="00C8418A">
        <w:rPr>
          <w:rFonts w:ascii="Garamond" w:hAnsi="Garamond" w:cs="Times New Roman"/>
          <w:b/>
          <w:bCs/>
          <w:color w:val="000000"/>
        </w:rPr>
        <w:t>Foundations and skills for life-long learning</w:t>
      </w:r>
      <w:r w:rsidRPr="00C8418A">
        <w:rPr>
          <w:rFonts w:ascii="Garamond" w:hAnsi="Garamond" w:cs="Times New Roman"/>
          <w:color w:val="000000"/>
        </w:rPr>
        <w:t>: purposeful learning activity, undertaken on an ongoing basis with the aim of improving knowledge, skills, and competence.</w:t>
      </w:r>
    </w:p>
    <w:p w:rsidR="00785A82" w:rsidRPr="00C8418A" w:rsidRDefault="00785A82" w:rsidP="00785A82">
      <w:pPr>
        <w:spacing w:before="100" w:beforeAutospacing="1"/>
        <w:rPr>
          <w:rFonts w:ascii="Garamond" w:hAnsi="Garamond" w:cs="Times New Roman"/>
          <w:color w:val="000000"/>
        </w:rPr>
      </w:pPr>
      <w:r w:rsidRPr="00C8418A">
        <w:rPr>
          <w:rFonts w:ascii="Garamond" w:hAnsi="Garamond" w:cs="Times New Roman"/>
          <w:color w:val="8500FF"/>
        </w:rPr>
        <w:t>Note to credit AAC&amp;U</w:t>
      </w:r>
    </w:p>
    <w:p w:rsidR="00043D33" w:rsidRPr="00785A82" w:rsidRDefault="00785A82" w:rsidP="00C8418A">
      <w:pPr>
        <w:spacing w:before="100" w:beforeAutospacing="1"/>
        <w:rPr>
          <w:rFonts w:ascii="Garamond" w:hAnsi="Garamond" w:cs="Times New Roman"/>
          <w:color w:val="000000"/>
        </w:rPr>
        <w:sectPr w:rsidR="00043D33" w:rsidRPr="00785A82">
          <w:pgSz w:w="12240" w:h="15840"/>
          <w:pgMar w:top="1440" w:right="1800" w:bottom="1440" w:left="1800" w:gutter="0"/>
          <w:docGrid w:linePitch="360"/>
        </w:sectPr>
      </w:pPr>
      <w:r w:rsidRPr="00C8418A">
        <w:rPr>
          <w:rFonts w:ascii="Garamond" w:hAnsi="Garamond" w:cs="Times New Roman"/>
          <w:color w:val="8500FF"/>
        </w:rPr>
        <w:t xml:space="preserve">"Reprinted [or Excerpted] with permission from </w:t>
      </w:r>
      <w:r w:rsidRPr="00C8418A">
        <w:rPr>
          <w:rFonts w:ascii="Garamond" w:hAnsi="Garamond" w:cs="Times New Roman"/>
          <w:i/>
          <w:iCs/>
          <w:color w:val="8500FF"/>
        </w:rPr>
        <w:t>Assessing Outcomes and Improving Achievement: Tips and tools for Using Rubrics</w:t>
      </w:r>
      <w:r w:rsidRPr="00C8418A">
        <w:rPr>
          <w:rFonts w:ascii="Garamond" w:hAnsi="Garamond" w:cs="Times New Roman"/>
          <w:color w:val="8500FF"/>
        </w:rPr>
        <w:t>, edited by Terrel L. Rhodes. Copyright 2010 by the Association of American Colleges and Universities.”  (ILOs and VALUE Rubric permission)</w:t>
      </w:r>
      <w:bookmarkStart w:id="0" w:name="_GoBack"/>
      <w:bookmarkEnd w:id="0"/>
    </w:p>
    <w:p w:rsidR="00043D33" w:rsidRDefault="00043D33" w:rsidP="00C8418A">
      <w:pPr>
        <w:spacing w:before="100" w:beforeAutospacing="1"/>
        <w:rPr>
          <w:rFonts w:ascii="Garamond" w:hAnsi="Garamond" w:cs="Times New Roman"/>
          <w:b/>
          <w:bCs/>
          <w:color w:val="1F497D"/>
        </w:rPr>
        <w:sectPr w:rsidR="00043D33">
          <w:pgSz w:w="12240" w:h="15840"/>
          <w:pgMar w:top="1440" w:right="1800" w:bottom="1440" w:left="1800" w:gutter="0"/>
          <w:docGrid w:linePitch="360"/>
        </w:sectPr>
      </w:pPr>
    </w:p>
    <w:p w:rsidR="002A492D" w:rsidRPr="007A6575" w:rsidRDefault="002A492D" w:rsidP="00785A82">
      <w:pPr>
        <w:spacing w:before="100" w:beforeAutospacing="1"/>
        <w:rPr>
          <w:rFonts w:ascii="Garamond" w:hAnsi="Garamond"/>
        </w:rPr>
      </w:pPr>
    </w:p>
    <w:sectPr w:rsidR="002A492D" w:rsidRPr="007A6575" w:rsidSect="002A492D">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51" w:rsidRDefault="00AF0F51" w:rsidP="00F81EAF">
      <w:r>
        <w:separator/>
      </w:r>
    </w:p>
  </w:endnote>
  <w:endnote w:type="continuationSeparator" w:id="0">
    <w:p w:rsidR="00AF0F51" w:rsidRDefault="00AF0F51" w:rsidP="00F81EA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CA" w:rsidRDefault="003C4C8C" w:rsidP="002954C1">
    <w:pPr>
      <w:pStyle w:val="Footer"/>
      <w:framePr w:wrap="around" w:vAnchor="text" w:hAnchor="margin" w:xAlign="right" w:y="1"/>
      <w:rPr>
        <w:rStyle w:val="PageNumber"/>
      </w:rPr>
    </w:pPr>
    <w:r>
      <w:rPr>
        <w:rStyle w:val="PageNumber"/>
      </w:rPr>
      <w:fldChar w:fldCharType="begin"/>
    </w:r>
    <w:r w:rsidR="002F13CA">
      <w:rPr>
        <w:rStyle w:val="PageNumber"/>
      </w:rPr>
      <w:instrText xml:space="preserve">PAGE  </w:instrText>
    </w:r>
    <w:r>
      <w:rPr>
        <w:rStyle w:val="PageNumber"/>
      </w:rPr>
      <w:fldChar w:fldCharType="end"/>
    </w:r>
  </w:p>
  <w:p w:rsidR="002F13CA" w:rsidRDefault="002F13CA" w:rsidP="002954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CA" w:rsidRDefault="003C4C8C" w:rsidP="002954C1">
    <w:pPr>
      <w:pStyle w:val="Footer"/>
      <w:framePr w:wrap="around" w:vAnchor="text" w:hAnchor="margin" w:xAlign="right" w:y="1"/>
      <w:rPr>
        <w:rStyle w:val="PageNumber"/>
      </w:rPr>
    </w:pPr>
    <w:r>
      <w:rPr>
        <w:rStyle w:val="PageNumber"/>
      </w:rPr>
      <w:fldChar w:fldCharType="begin"/>
    </w:r>
    <w:r w:rsidR="002F13CA">
      <w:rPr>
        <w:rStyle w:val="PageNumber"/>
      </w:rPr>
      <w:instrText xml:space="preserve">PAGE  </w:instrText>
    </w:r>
    <w:r>
      <w:rPr>
        <w:rStyle w:val="PageNumber"/>
      </w:rPr>
      <w:fldChar w:fldCharType="separate"/>
    </w:r>
    <w:r w:rsidR="004371B3">
      <w:rPr>
        <w:rStyle w:val="PageNumber"/>
        <w:noProof/>
      </w:rPr>
      <w:t>19</w:t>
    </w:r>
    <w:r>
      <w:rPr>
        <w:rStyle w:val="PageNumber"/>
      </w:rPr>
      <w:fldChar w:fldCharType="end"/>
    </w:r>
  </w:p>
  <w:p w:rsidR="002F13CA" w:rsidRDefault="002F13CA" w:rsidP="002954C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51" w:rsidRDefault="00AF0F51" w:rsidP="00F81EAF">
      <w:r>
        <w:separator/>
      </w:r>
    </w:p>
  </w:footnote>
  <w:footnote w:type="continuationSeparator" w:id="0">
    <w:p w:rsidR="00AF0F51" w:rsidRDefault="00AF0F51" w:rsidP="00F81EA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CA" w:rsidRDefault="003C4C8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d8d8d8 [2732]"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CA" w:rsidRDefault="003C4C8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d8d8d8 [2732]" stroked="f">
          <v:textpath style="font-family:&quot;Cambri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CA" w:rsidRDefault="003C4C8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d8d8d8 [2732]" stroked="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CF3"/>
    <w:multiLevelType w:val="hybridMultilevel"/>
    <w:tmpl w:val="F97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5A6F"/>
    <w:multiLevelType w:val="hybridMultilevel"/>
    <w:tmpl w:val="5FA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C70E5"/>
    <w:multiLevelType w:val="hybridMultilevel"/>
    <w:tmpl w:val="993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A54D6"/>
    <w:multiLevelType w:val="multilevel"/>
    <w:tmpl w:val="B3A2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2F4798"/>
    <w:multiLevelType w:val="multilevel"/>
    <w:tmpl w:val="A4CE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67C2C"/>
    <w:multiLevelType w:val="hybridMultilevel"/>
    <w:tmpl w:val="FC6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E7DA7"/>
    <w:multiLevelType w:val="hybridMultilevel"/>
    <w:tmpl w:val="70EC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656B93"/>
    <w:multiLevelType w:val="hybridMultilevel"/>
    <w:tmpl w:val="4F9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1">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900C72"/>
    <w:multiLevelType w:val="hybridMultilevel"/>
    <w:tmpl w:val="53484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42778"/>
    <w:multiLevelType w:val="multilevel"/>
    <w:tmpl w:val="A30C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3F67B6"/>
    <w:multiLevelType w:val="multilevel"/>
    <w:tmpl w:val="DDA4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D920C8"/>
    <w:multiLevelType w:val="hybridMultilevel"/>
    <w:tmpl w:val="80F6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A264F9"/>
    <w:multiLevelType w:val="hybridMultilevel"/>
    <w:tmpl w:val="06C2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21653F"/>
    <w:multiLevelType w:val="hybridMultilevel"/>
    <w:tmpl w:val="E69E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E14FCE"/>
    <w:multiLevelType w:val="hybridMultilevel"/>
    <w:tmpl w:val="AC748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5028CB"/>
    <w:multiLevelType w:val="hybridMultilevel"/>
    <w:tmpl w:val="5CE0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0153F3"/>
    <w:multiLevelType w:val="multilevel"/>
    <w:tmpl w:val="8C12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5713E1"/>
    <w:multiLevelType w:val="hybridMultilevel"/>
    <w:tmpl w:val="86AE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C270A6"/>
    <w:multiLevelType w:val="hybridMultilevel"/>
    <w:tmpl w:val="DBB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F34B9"/>
    <w:multiLevelType w:val="hybridMultilevel"/>
    <w:tmpl w:val="A13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F2C92"/>
    <w:multiLevelType w:val="multilevel"/>
    <w:tmpl w:val="5120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2"/>
  </w:num>
  <w:num w:numId="3">
    <w:abstractNumId w:val="15"/>
  </w:num>
  <w:num w:numId="4">
    <w:abstractNumId w:val="3"/>
  </w:num>
  <w:num w:numId="5">
    <w:abstractNumId w:val="5"/>
  </w:num>
  <w:num w:numId="6">
    <w:abstractNumId w:val="13"/>
  </w:num>
  <w:num w:numId="7">
    <w:abstractNumId w:val="0"/>
  </w:num>
  <w:num w:numId="8">
    <w:abstractNumId w:val="9"/>
  </w:num>
  <w:num w:numId="9">
    <w:abstractNumId w:val="6"/>
  </w:num>
  <w:num w:numId="10">
    <w:abstractNumId w:val="25"/>
  </w:num>
  <w:num w:numId="11">
    <w:abstractNumId w:val="1"/>
  </w:num>
  <w:num w:numId="12">
    <w:abstractNumId w:val="18"/>
  </w:num>
  <w:num w:numId="13">
    <w:abstractNumId w:val="24"/>
  </w:num>
  <w:num w:numId="14">
    <w:abstractNumId w:val="2"/>
  </w:num>
  <w:num w:numId="15">
    <w:abstractNumId w:val="7"/>
  </w:num>
  <w:num w:numId="16">
    <w:abstractNumId w:val="16"/>
  </w:num>
  <w:num w:numId="17">
    <w:abstractNumId w:val="8"/>
  </w:num>
  <w:num w:numId="18">
    <w:abstractNumId w:val="4"/>
  </w:num>
  <w:num w:numId="19">
    <w:abstractNumId w:val="21"/>
  </w:num>
  <w:num w:numId="20">
    <w:abstractNumId w:val="14"/>
  </w:num>
  <w:num w:numId="21">
    <w:abstractNumId w:val="20"/>
  </w:num>
  <w:num w:numId="22">
    <w:abstractNumId w:val="10"/>
  </w:num>
  <w:num w:numId="23">
    <w:abstractNumId w:val="17"/>
  </w:num>
  <w:num w:numId="24">
    <w:abstractNumId w:val="11"/>
  </w:num>
  <w:num w:numId="25">
    <w:abstractNumId w:val="12"/>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C8418A"/>
    <w:rsid w:val="00010003"/>
    <w:rsid w:val="000115E3"/>
    <w:rsid w:val="0001453F"/>
    <w:rsid w:val="00033927"/>
    <w:rsid w:val="00035738"/>
    <w:rsid w:val="00037E84"/>
    <w:rsid w:val="00043D33"/>
    <w:rsid w:val="00096347"/>
    <w:rsid w:val="00097C87"/>
    <w:rsid w:val="000A0E21"/>
    <w:rsid w:val="000A23F3"/>
    <w:rsid w:val="000A4AA0"/>
    <w:rsid w:val="000D1776"/>
    <w:rsid w:val="00133EF9"/>
    <w:rsid w:val="00181055"/>
    <w:rsid w:val="001A4833"/>
    <w:rsid w:val="001E603E"/>
    <w:rsid w:val="001F0778"/>
    <w:rsid w:val="001F5F3A"/>
    <w:rsid w:val="00222B41"/>
    <w:rsid w:val="002368C5"/>
    <w:rsid w:val="002537E2"/>
    <w:rsid w:val="00257519"/>
    <w:rsid w:val="002643E2"/>
    <w:rsid w:val="002709DE"/>
    <w:rsid w:val="00295498"/>
    <w:rsid w:val="002954C1"/>
    <w:rsid w:val="002A48FC"/>
    <w:rsid w:val="002A492D"/>
    <w:rsid w:val="002C3F4C"/>
    <w:rsid w:val="002D49D2"/>
    <w:rsid w:val="002F13CA"/>
    <w:rsid w:val="002F1428"/>
    <w:rsid w:val="00307238"/>
    <w:rsid w:val="00346285"/>
    <w:rsid w:val="00374040"/>
    <w:rsid w:val="003C4C8C"/>
    <w:rsid w:val="004059A6"/>
    <w:rsid w:val="004371B3"/>
    <w:rsid w:val="00471877"/>
    <w:rsid w:val="00483354"/>
    <w:rsid w:val="004858A0"/>
    <w:rsid w:val="004B58D2"/>
    <w:rsid w:val="004C09EC"/>
    <w:rsid w:val="004D6714"/>
    <w:rsid w:val="004E17F8"/>
    <w:rsid w:val="004F39A9"/>
    <w:rsid w:val="004F76FA"/>
    <w:rsid w:val="00543E74"/>
    <w:rsid w:val="00557DC4"/>
    <w:rsid w:val="00557E3D"/>
    <w:rsid w:val="005720EE"/>
    <w:rsid w:val="00590BEA"/>
    <w:rsid w:val="00593570"/>
    <w:rsid w:val="005A5F22"/>
    <w:rsid w:val="005A6727"/>
    <w:rsid w:val="005C27EB"/>
    <w:rsid w:val="005E3D60"/>
    <w:rsid w:val="005F4F13"/>
    <w:rsid w:val="006069AF"/>
    <w:rsid w:val="006110DE"/>
    <w:rsid w:val="006426FC"/>
    <w:rsid w:val="00674539"/>
    <w:rsid w:val="006B4015"/>
    <w:rsid w:val="006C6615"/>
    <w:rsid w:val="006D1415"/>
    <w:rsid w:val="006F688A"/>
    <w:rsid w:val="00743E60"/>
    <w:rsid w:val="00764735"/>
    <w:rsid w:val="0077183C"/>
    <w:rsid w:val="00785A82"/>
    <w:rsid w:val="007A6575"/>
    <w:rsid w:val="007E580B"/>
    <w:rsid w:val="00812C83"/>
    <w:rsid w:val="00863761"/>
    <w:rsid w:val="00892469"/>
    <w:rsid w:val="008A4E8D"/>
    <w:rsid w:val="008B4A1A"/>
    <w:rsid w:val="008C28AA"/>
    <w:rsid w:val="008D7EE5"/>
    <w:rsid w:val="00906510"/>
    <w:rsid w:val="00914894"/>
    <w:rsid w:val="009E6EA9"/>
    <w:rsid w:val="00A4402A"/>
    <w:rsid w:val="00AB2FEB"/>
    <w:rsid w:val="00AD28F3"/>
    <w:rsid w:val="00AE437D"/>
    <w:rsid w:val="00AE4BE1"/>
    <w:rsid w:val="00AF0F51"/>
    <w:rsid w:val="00AF18A3"/>
    <w:rsid w:val="00AF4958"/>
    <w:rsid w:val="00B47DFE"/>
    <w:rsid w:val="00BB51EE"/>
    <w:rsid w:val="00BD74D9"/>
    <w:rsid w:val="00BF2CCF"/>
    <w:rsid w:val="00C21881"/>
    <w:rsid w:val="00C429C3"/>
    <w:rsid w:val="00C44132"/>
    <w:rsid w:val="00C44A45"/>
    <w:rsid w:val="00C8418A"/>
    <w:rsid w:val="00C87FAA"/>
    <w:rsid w:val="00C976AC"/>
    <w:rsid w:val="00C979F5"/>
    <w:rsid w:val="00CB3208"/>
    <w:rsid w:val="00CB5448"/>
    <w:rsid w:val="00CC0594"/>
    <w:rsid w:val="00CC30BD"/>
    <w:rsid w:val="00CD7CCF"/>
    <w:rsid w:val="00CE4A68"/>
    <w:rsid w:val="00D342CD"/>
    <w:rsid w:val="00D607F0"/>
    <w:rsid w:val="00D62BF6"/>
    <w:rsid w:val="00D65F14"/>
    <w:rsid w:val="00DD0F2E"/>
    <w:rsid w:val="00DE1ECC"/>
    <w:rsid w:val="00DF0313"/>
    <w:rsid w:val="00E02C84"/>
    <w:rsid w:val="00E23E09"/>
    <w:rsid w:val="00E57856"/>
    <w:rsid w:val="00E616E9"/>
    <w:rsid w:val="00EA7E08"/>
    <w:rsid w:val="00ED5525"/>
    <w:rsid w:val="00EE276E"/>
    <w:rsid w:val="00EF58B7"/>
    <w:rsid w:val="00F24D1A"/>
    <w:rsid w:val="00F26612"/>
    <w:rsid w:val="00F3517C"/>
    <w:rsid w:val="00F35233"/>
    <w:rsid w:val="00F37C7B"/>
    <w:rsid w:val="00F81EAF"/>
    <w:rsid w:val="00FB4852"/>
    <w:rsid w:val="00FF672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8418A"/>
    <w:pPr>
      <w:spacing w:before="100" w:beforeAutospacing="1" w:after="115"/>
    </w:pPr>
    <w:rPr>
      <w:rFonts w:ascii="Times" w:hAnsi="Times" w:cs="Times New Roman"/>
      <w:color w:val="000000"/>
      <w:sz w:val="20"/>
      <w:szCs w:val="20"/>
    </w:rPr>
  </w:style>
  <w:style w:type="paragraph" w:styleId="BalloonText">
    <w:name w:val="Balloon Text"/>
    <w:basedOn w:val="Normal"/>
    <w:link w:val="BalloonTextChar"/>
    <w:uiPriority w:val="99"/>
    <w:semiHidden/>
    <w:unhideWhenUsed/>
    <w:rsid w:val="00264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3E2"/>
    <w:rPr>
      <w:rFonts w:ascii="Lucida Grande" w:hAnsi="Lucida Grande" w:cs="Lucida Grande"/>
      <w:sz w:val="18"/>
      <w:szCs w:val="18"/>
    </w:rPr>
  </w:style>
  <w:style w:type="paragraph" w:styleId="ListParagraph">
    <w:name w:val="List Paragraph"/>
    <w:basedOn w:val="Normal"/>
    <w:uiPriority w:val="34"/>
    <w:qFormat/>
    <w:rsid w:val="001E603E"/>
    <w:pPr>
      <w:ind w:left="720"/>
      <w:contextualSpacing/>
    </w:pPr>
  </w:style>
  <w:style w:type="table" w:styleId="TableGrid">
    <w:name w:val="Table Grid"/>
    <w:basedOn w:val="TableNormal"/>
    <w:uiPriority w:val="59"/>
    <w:rsid w:val="009E6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EAF"/>
    <w:pPr>
      <w:tabs>
        <w:tab w:val="center" w:pos="4320"/>
        <w:tab w:val="right" w:pos="8640"/>
      </w:tabs>
    </w:pPr>
  </w:style>
  <w:style w:type="character" w:customStyle="1" w:styleId="HeaderChar">
    <w:name w:val="Header Char"/>
    <w:basedOn w:val="DefaultParagraphFont"/>
    <w:link w:val="Header"/>
    <w:uiPriority w:val="99"/>
    <w:rsid w:val="00F81EAF"/>
  </w:style>
  <w:style w:type="paragraph" w:styleId="Footer">
    <w:name w:val="footer"/>
    <w:basedOn w:val="Normal"/>
    <w:link w:val="FooterChar"/>
    <w:uiPriority w:val="99"/>
    <w:unhideWhenUsed/>
    <w:rsid w:val="00F81EAF"/>
    <w:pPr>
      <w:tabs>
        <w:tab w:val="center" w:pos="4320"/>
        <w:tab w:val="right" w:pos="8640"/>
      </w:tabs>
    </w:pPr>
  </w:style>
  <w:style w:type="character" w:customStyle="1" w:styleId="FooterChar">
    <w:name w:val="Footer Char"/>
    <w:basedOn w:val="DefaultParagraphFont"/>
    <w:link w:val="Footer"/>
    <w:uiPriority w:val="99"/>
    <w:rsid w:val="00F81EAF"/>
  </w:style>
  <w:style w:type="character" w:styleId="PageNumber">
    <w:name w:val="page number"/>
    <w:basedOn w:val="DefaultParagraphFont"/>
    <w:uiPriority w:val="99"/>
    <w:semiHidden/>
    <w:unhideWhenUsed/>
    <w:rsid w:val="002954C1"/>
  </w:style>
  <w:style w:type="paragraph" w:styleId="NoSpacing">
    <w:name w:val="No Spacing"/>
    <w:uiPriority w:val="1"/>
    <w:qFormat/>
    <w:rsid w:val="005A67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18A"/>
    <w:pPr>
      <w:spacing w:before="100" w:beforeAutospacing="1" w:after="115"/>
    </w:pPr>
    <w:rPr>
      <w:rFonts w:ascii="Times" w:hAnsi="Times" w:cs="Times New Roman"/>
      <w:color w:val="000000"/>
      <w:sz w:val="20"/>
      <w:szCs w:val="20"/>
    </w:rPr>
  </w:style>
  <w:style w:type="paragraph" w:styleId="BalloonText">
    <w:name w:val="Balloon Text"/>
    <w:basedOn w:val="Normal"/>
    <w:link w:val="BalloonTextChar"/>
    <w:uiPriority w:val="99"/>
    <w:semiHidden/>
    <w:unhideWhenUsed/>
    <w:rsid w:val="00264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3E2"/>
    <w:rPr>
      <w:rFonts w:ascii="Lucida Grande" w:hAnsi="Lucida Grande" w:cs="Lucida Grande"/>
      <w:sz w:val="18"/>
      <w:szCs w:val="18"/>
    </w:rPr>
  </w:style>
  <w:style w:type="paragraph" w:styleId="ListParagraph">
    <w:name w:val="List Paragraph"/>
    <w:basedOn w:val="Normal"/>
    <w:uiPriority w:val="34"/>
    <w:qFormat/>
    <w:rsid w:val="001E603E"/>
    <w:pPr>
      <w:ind w:left="720"/>
      <w:contextualSpacing/>
    </w:pPr>
  </w:style>
  <w:style w:type="table" w:styleId="TableGrid">
    <w:name w:val="Table Grid"/>
    <w:basedOn w:val="TableNormal"/>
    <w:uiPriority w:val="59"/>
    <w:rsid w:val="009E6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EAF"/>
    <w:pPr>
      <w:tabs>
        <w:tab w:val="center" w:pos="4320"/>
        <w:tab w:val="right" w:pos="8640"/>
      </w:tabs>
    </w:pPr>
  </w:style>
  <w:style w:type="character" w:customStyle="1" w:styleId="HeaderChar">
    <w:name w:val="Header Char"/>
    <w:basedOn w:val="DefaultParagraphFont"/>
    <w:link w:val="Header"/>
    <w:uiPriority w:val="99"/>
    <w:rsid w:val="00F81EAF"/>
  </w:style>
  <w:style w:type="paragraph" w:styleId="Footer">
    <w:name w:val="footer"/>
    <w:basedOn w:val="Normal"/>
    <w:link w:val="FooterChar"/>
    <w:uiPriority w:val="99"/>
    <w:unhideWhenUsed/>
    <w:rsid w:val="00F81EAF"/>
    <w:pPr>
      <w:tabs>
        <w:tab w:val="center" w:pos="4320"/>
        <w:tab w:val="right" w:pos="8640"/>
      </w:tabs>
    </w:pPr>
  </w:style>
  <w:style w:type="character" w:customStyle="1" w:styleId="FooterChar">
    <w:name w:val="Footer Char"/>
    <w:basedOn w:val="DefaultParagraphFont"/>
    <w:link w:val="Footer"/>
    <w:uiPriority w:val="99"/>
    <w:rsid w:val="00F81EAF"/>
  </w:style>
  <w:style w:type="character" w:styleId="PageNumber">
    <w:name w:val="page number"/>
    <w:basedOn w:val="DefaultParagraphFont"/>
    <w:uiPriority w:val="99"/>
    <w:semiHidden/>
    <w:unhideWhenUsed/>
    <w:rsid w:val="002954C1"/>
  </w:style>
  <w:style w:type="paragraph" w:styleId="NoSpacing">
    <w:name w:val="No Spacing"/>
    <w:uiPriority w:val="1"/>
    <w:qFormat/>
    <w:rsid w:val="005A6727"/>
  </w:style>
</w:styles>
</file>

<file path=word/webSettings.xml><?xml version="1.0" encoding="utf-8"?>
<w:webSettings xmlns:r="http://schemas.openxmlformats.org/officeDocument/2006/relationships" xmlns:w="http://schemas.openxmlformats.org/wordprocessingml/2006/main">
  <w:divs>
    <w:div w:id="799111406">
      <w:bodyDiv w:val="1"/>
      <w:marLeft w:val="0"/>
      <w:marRight w:val="0"/>
      <w:marTop w:val="0"/>
      <w:marBottom w:val="0"/>
      <w:divBdr>
        <w:top w:val="none" w:sz="0" w:space="0" w:color="auto"/>
        <w:left w:val="none" w:sz="0" w:space="0" w:color="auto"/>
        <w:bottom w:val="none" w:sz="0" w:space="0" w:color="auto"/>
        <w:right w:val="none" w:sz="0" w:space="0" w:color="auto"/>
      </w:divBdr>
    </w:div>
    <w:div w:id="2126120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image" Target="media/image3.emf"/><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9CBF-2AF8-4A41-94D0-33930375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3220</Words>
  <Characters>18358</Characters>
  <Application>Microsoft Macintosh Word</Application>
  <DocSecurity>0</DocSecurity>
  <Lines>152</Lines>
  <Paragraphs>36</Paragraphs>
  <ScaleCrop>false</ScaleCrop>
  <Company/>
  <LinksUpToDate>false</LinksUpToDate>
  <CharactersWithSpaces>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dc:description/>
  <cp:lastModifiedBy>Marian Gratia Medalla</cp:lastModifiedBy>
  <cp:revision>2</cp:revision>
  <cp:lastPrinted>2013-04-16T23:55:00Z</cp:lastPrinted>
  <dcterms:created xsi:type="dcterms:W3CDTF">2013-04-23T23:07:00Z</dcterms:created>
  <dcterms:modified xsi:type="dcterms:W3CDTF">2013-04-23T23:07:00Z</dcterms:modified>
</cp:coreProperties>
</file>