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F15BC" w14:textId="77777777" w:rsidR="00B74B1E" w:rsidRDefault="00B76257" w:rsidP="00415ED2">
      <w:pPr>
        <w:jc w:val="center"/>
        <w:rPr>
          <w:rFonts w:cs="Times New Roman"/>
          <w:b/>
          <w:color w:val="3366FF"/>
          <w:sz w:val="32"/>
          <w:szCs w:val="32"/>
        </w:rPr>
      </w:pPr>
      <w:r w:rsidRPr="00B071D8">
        <w:rPr>
          <w:rFonts w:cs="Times New Roman"/>
          <w:b/>
          <w:color w:val="3366FF"/>
          <w:sz w:val="32"/>
          <w:szCs w:val="32"/>
        </w:rPr>
        <w:t>Program Student Learning Outcomes Assessment Summary</w:t>
      </w:r>
      <w:r w:rsidR="00415ED2" w:rsidRPr="00B071D8">
        <w:rPr>
          <w:rFonts w:cs="Times New Roman"/>
          <w:b/>
          <w:color w:val="3366FF"/>
          <w:sz w:val="32"/>
          <w:szCs w:val="32"/>
        </w:rPr>
        <w:t xml:space="preserve"> </w:t>
      </w:r>
    </w:p>
    <w:p w14:paraId="2DF19335" w14:textId="00F323CB" w:rsidR="00B76257" w:rsidRPr="00B071D8" w:rsidRDefault="00415ED2" w:rsidP="00415ED2">
      <w:pPr>
        <w:jc w:val="center"/>
        <w:rPr>
          <w:rFonts w:cs="Times New Roman"/>
          <w:b/>
          <w:color w:val="3366FF"/>
          <w:sz w:val="32"/>
          <w:szCs w:val="32"/>
        </w:rPr>
      </w:pPr>
      <w:r w:rsidRPr="00B071D8">
        <w:rPr>
          <w:rFonts w:cs="Times New Roman"/>
          <w:b/>
          <w:color w:val="3366FF"/>
          <w:sz w:val="32"/>
          <w:szCs w:val="32"/>
        </w:rPr>
        <w:t>(</w:t>
      </w:r>
      <w:r w:rsidR="00B071D8">
        <w:rPr>
          <w:rFonts w:cs="Times New Roman"/>
          <w:b/>
          <w:color w:val="3366FF"/>
          <w:sz w:val="32"/>
          <w:szCs w:val="32"/>
        </w:rPr>
        <w:t xml:space="preserve">AY </w:t>
      </w:r>
      <w:r w:rsidR="005E4BF4">
        <w:rPr>
          <w:rFonts w:cs="Times New Roman"/>
          <w:b/>
          <w:color w:val="3366FF"/>
          <w:sz w:val="32"/>
          <w:szCs w:val="32"/>
        </w:rPr>
        <w:t>2013-2014</w:t>
      </w:r>
      <w:r w:rsidRPr="00B071D8">
        <w:rPr>
          <w:rFonts w:cs="Times New Roman"/>
          <w:b/>
          <w:color w:val="3366FF"/>
          <w:sz w:val="32"/>
          <w:szCs w:val="32"/>
        </w:rPr>
        <w:t>)</w:t>
      </w:r>
    </w:p>
    <w:p w14:paraId="27A91DCA" w14:textId="77777777" w:rsidR="00B76257" w:rsidRDefault="00B76257" w:rsidP="00B76257">
      <w:pPr>
        <w:rPr>
          <w:rFonts w:cs="Times New Roman"/>
        </w:rPr>
      </w:pPr>
    </w:p>
    <w:p w14:paraId="1DE89771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3366FF"/>
        </w:rPr>
      </w:pPr>
      <w:r w:rsidRPr="00B071D8">
        <w:rPr>
          <w:rFonts w:cs="Times New Roman"/>
          <w:b/>
          <w:bCs/>
          <w:color w:val="3366FF"/>
        </w:rPr>
        <w:t>Program Student Learning Outcomes (PSLOs)</w:t>
      </w:r>
    </w:p>
    <w:p w14:paraId="7F068158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F5FAA">
        <w:rPr>
          <w:rFonts w:cs="Times New Roman"/>
        </w:rPr>
        <w:t> </w:t>
      </w:r>
    </w:p>
    <w:p w14:paraId="379D0F1F" w14:textId="77777777" w:rsidR="00B76257" w:rsidRPr="00146945" w:rsidRDefault="00B76257" w:rsidP="00E64D47">
      <w:pPr>
        <w:widowControl w:val="0"/>
        <w:autoSpaceDE w:val="0"/>
        <w:autoSpaceDN w:val="0"/>
        <w:adjustRightInd w:val="0"/>
        <w:spacing w:after="240"/>
        <w:rPr>
          <w:rFonts w:cs="Times New Roman"/>
          <w:sz w:val="32"/>
          <w:szCs w:val="32"/>
        </w:rPr>
      </w:pPr>
      <w:r w:rsidRPr="000F5FAA">
        <w:rPr>
          <w:rFonts w:cs="Times New Roman"/>
        </w:rPr>
        <w:t>At the completion of the</w:t>
      </w:r>
      <w:r w:rsidRPr="00FF7601">
        <w:rPr>
          <w:rFonts w:cs="Times New Roman"/>
        </w:rPr>
        <w:t xml:space="preserve"> </w:t>
      </w:r>
      <w:r w:rsidR="00146945" w:rsidRPr="00146945">
        <w:rPr>
          <w:rFonts w:cs="Times New Roman"/>
          <w:b/>
        </w:rPr>
        <w:t>Micronesian Studies Program</w:t>
      </w:r>
      <w:r w:rsidRPr="0093691C">
        <w:rPr>
          <w:rFonts w:cs="Times New Roman"/>
        </w:rPr>
        <w:t>,</w:t>
      </w:r>
      <w:r w:rsidRPr="000F5FAA">
        <w:rPr>
          <w:rFonts w:cs="Times New Roman"/>
        </w:rPr>
        <w:t xml:space="preserve"> the </w:t>
      </w:r>
      <w:r w:rsidRPr="00480A8A">
        <w:rPr>
          <w:rFonts w:cs="Times New Roman"/>
        </w:rPr>
        <w:t xml:space="preserve">student </w:t>
      </w:r>
      <w:r w:rsidR="00480A8A" w:rsidRPr="00480A8A">
        <w:rPr>
          <w:rFonts w:cs="Times New Roman"/>
        </w:rPr>
        <w:t>will</w:t>
      </w:r>
      <w:r w:rsidRPr="000F5FAA">
        <w:rPr>
          <w:rFonts w:cs="Times New Roman"/>
        </w:rPr>
        <w:t xml:space="preserve"> be able to:</w:t>
      </w:r>
    </w:p>
    <w:p w14:paraId="1F59DF5F" w14:textId="775094ED" w:rsidR="00146945" w:rsidRPr="00EC2D22" w:rsidRDefault="00146945" w:rsidP="0014694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cs="Times New Roman"/>
          <w:sz w:val="20"/>
          <w:szCs w:val="20"/>
        </w:rPr>
      </w:pPr>
      <w:r w:rsidRPr="00EC2D22">
        <w:rPr>
          <w:rFonts w:cs="Times New Roman"/>
          <w:sz w:val="20"/>
          <w:szCs w:val="20"/>
        </w:rPr>
        <w:t>Demonstrate the ability to read, speak and write critically and effectively in English about Micronesian Studies Program course content</w:t>
      </w:r>
      <w:r w:rsidR="003B0931" w:rsidRPr="00EC2D22">
        <w:rPr>
          <w:rFonts w:cs="Times New Roman"/>
          <w:sz w:val="20"/>
          <w:szCs w:val="20"/>
        </w:rPr>
        <w:t xml:space="preserve">. </w:t>
      </w:r>
    </w:p>
    <w:p w14:paraId="55DB0173" w14:textId="77777777" w:rsidR="00146945" w:rsidRPr="00EC2D22" w:rsidRDefault="00146945" w:rsidP="0014694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EC2D22">
        <w:rPr>
          <w:rFonts w:cs="Times New Roman"/>
          <w:sz w:val="20"/>
          <w:szCs w:val="20"/>
        </w:rPr>
        <w:t>Demonstrate proficiency in the geographical, historical, and cultural literacy of the Micronesian region.</w:t>
      </w:r>
    </w:p>
    <w:p w14:paraId="4DD36C9F" w14:textId="452F16DC" w:rsidR="00146945" w:rsidRPr="00EC2D22" w:rsidRDefault="00146945" w:rsidP="0014694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cs="Times New Roman"/>
          <w:sz w:val="20"/>
          <w:szCs w:val="20"/>
        </w:rPr>
      </w:pPr>
      <w:r w:rsidRPr="00EC2D22">
        <w:rPr>
          <w:rFonts w:cs="Times New Roman"/>
          <w:sz w:val="20"/>
          <w:szCs w:val="20"/>
        </w:rPr>
        <w:t>Demonstrate proficient knowledge of the structure and functions of the government and social, political, and economic issues concerning the Micr</w:t>
      </w:r>
      <w:r w:rsidR="003B0931" w:rsidRPr="00EC2D22">
        <w:rPr>
          <w:rFonts w:cs="Times New Roman"/>
          <w:sz w:val="20"/>
          <w:szCs w:val="20"/>
        </w:rPr>
        <w:t>onesian Studies course content.</w:t>
      </w:r>
    </w:p>
    <w:p w14:paraId="42FAF36B" w14:textId="77777777" w:rsidR="00146945" w:rsidRPr="00EC2D22" w:rsidRDefault="00146945" w:rsidP="0014694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EC2D22">
        <w:rPr>
          <w:rFonts w:cs="Times New Roman"/>
          <w:sz w:val="20"/>
          <w:szCs w:val="20"/>
        </w:rPr>
        <w:t>Demonstrate the ability to perform research and write papers relevant to Micronesia using different methods and technologies.</w:t>
      </w:r>
    </w:p>
    <w:p w14:paraId="305919AD" w14:textId="77777777" w:rsidR="00146945" w:rsidRPr="00EC2D22" w:rsidRDefault="00146945" w:rsidP="0014694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EC2D22">
        <w:rPr>
          <w:rFonts w:cs="Times New Roman"/>
          <w:sz w:val="20"/>
          <w:szCs w:val="20"/>
        </w:rPr>
        <w:t>Demonstrate an appreciation of the requirements of good citizenship in the FSM.</w:t>
      </w:r>
    </w:p>
    <w:p w14:paraId="653AD876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3366FF"/>
        </w:rPr>
      </w:pPr>
      <w:r w:rsidRPr="00B071D8">
        <w:rPr>
          <w:rFonts w:cs="Times New Roman"/>
          <w:b/>
          <w:bCs/>
          <w:color w:val="3366FF"/>
        </w:rPr>
        <w:t>PSLO Assessment Report Summary</w:t>
      </w:r>
    </w:p>
    <w:p w14:paraId="1D8F262C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F5FAA">
        <w:rPr>
          <w:rFonts w:cs="Times New Roman"/>
        </w:rPr>
        <w:t> </w:t>
      </w:r>
    </w:p>
    <w:p w14:paraId="17B830C4" w14:textId="77777777" w:rsidR="00B76257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739AC">
        <w:rPr>
          <w:rFonts w:cs="Times New Roman"/>
          <w:b/>
          <w:bCs/>
        </w:rPr>
        <w:t>What we looked at:</w:t>
      </w:r>
      <w:r w:rsidRPr="000F5FAA">
        <w:rPr>
          <w:rFonts w:cs="Times New Roman"/>
          <w:b/>
          <w:bCs/>
        </w:rPr>
        <w:t xml:space="preserve"> </w:t>
      </w:r>
    </w:p>
    <w:p w14:paraId="583622AF" w14:textId="77777777" w:rsidR="00B11A1F" w:rsidRDefault="00EC0577" w:rsidP="00B11A1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The </w:t>
      </w:r>
      <w:r w:rsidR="00146945" w:rsidRPr="00146945">
        <w:rPr>
          <w:rFonts w:cs="Times New Roman"/>
        </w:rPr>
        <w:t>Micronesian Studies Program</w:t>
      </w:r>
      <w:r w:rsidR="00146945">
        <w:rPr>
          <w:rFonts w:cs="Times New Roman"/>
        </w:rPr>
        <w:t xml:space="preserve"> </w:t>
      </w:r>
      <w:r>
        <w:rPr>
          <w:rFonts w:cs="Times New Roman"/>
        </w:rPr>
        <w:t xml:space="preserve">assessment </w:t>
      </w:r>
      <w:r w:rsidR="001738D3">
        <w:rPr>
          <w:rFonts w:cs="Times New Roman"/>
        </w:rPr>
        <w:t>focused on PSLOs</w:t>
      </w:r>
      <w:r w:rsidR="00984257">
        <w:rPr>
          <w:rFonts w:cs="Times New Roman"/>
        </w:rPr>
        <w:t xml:space="preserve"> 1, 3, and 5</w:t>
      </w:r>
      <w:r w:rsidR="001738D3">
        <w:rPr>
          <w:rFonts w:cs="Times New Roman"/>
        </w:rPr>
        <w:t xml:space="preserve">. </w:t>
      </w:r>
    </w:p>
    <w:p w14:paraId="5D17490A" w14:textId="77777777" w:rsidR="00B11A1F" w:rsidRDefault="00B11A1F" w:rsidP="00B11A1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3066260" w14:textId="122D6C89" w:rsidR="00B11A1F" w:rsidRDefault="003D7B06" w:rsidP="00B11A1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PSLO 1was assessed on a common essay</w:t>
      </w:r>
      <w:r w:rsidR="00964C4C">
        <w:rPr>
          <w:rFonts w:cs="Times New Roman"/>
        </w:rPr>
        <w:t>, with a scoring rubric</w:t>
      </w:r>
      <w:r>
        <w:rPr>
          <w:rFonts w:cs="Times New Roman"/>
        </w:rPr>
        <w:t xml:space="preserve"> developed the Micronesian Studies faculty</w:t>
      </w:r>
      <w:r w:rsidR="003C3BF2">
        <w:rPr>
          <w:rFonts w:cs="Times New Roman"/>
        </w:rPr>
        <w:t>, to look at</w:t>
      </w:r>
      <w:r w:rsidR="00D34814" w:rsidRPr="00D34814">
        <w:rPr>
          <w:rFonts w:cs="Times New Roman"/>
        </w:rPr>
        <w:t xml:space="preserve"> major concepts in the program which include: social, political, and economic influences. The courses are SS195, SS200, SS20</w:t>
      </w:r>
      <w:r w:rsidR="003C3BF2">
        <w:rPr>
          <w:rFonts w:cs="Times New Roman"/>
        </w:rPr>
        <w:t>5, SS212, SS220, and SS280. The scoring rubric was</w:t>
      </w:r>
      <w:r w:rsidR="00D34814" w:rsidRPr="00D34814">
        <w:rPr>
          <w:rFonts w:cs="Times New Roman"/>
        </w:rPr>
        <w:t xml:space="preserve"> on a range of 1-5; where 1=F, 2=D, C=3, 4=B, and 5=A. </w:t>
      </w:r>
    </w:p>
    <w:p w14:paraId="1856E259" w14:textId="77777777" w:rsidR="00B11A1F" w:rsidRDefault="00B11A1F" w:rsidP="00B11A1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159F39A" w14:textId="0879F666" w:rsidR="00B11A1F" w:rsidRPr="00EC2D22" w:rsidRDefault="003D7B06" w:rsidP="00EC2D22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PSLO 3 was assessed by research papers</w:t>
      </w:r>
      <w:r w:rsidR="00924740">
        <w:rPr>
          <w:rFonts w:cs="Times New Roman"/>
        </w:rPr>
        <w:t xml:space="preserve"> </w:t>
      </w:r>
      <w:r w:rsidR="00964C4C">
        <w:rPr>
          <w:rFonts w:cs="Times New Roman"/>
        </w:rPr>
        <w:t>with a scoring rubric</w:t>
      </w:r>
      <w:r w:rsidR="00807EEA">
        <w:rPr>
          <w:rFonts w:cs="Times New Roman"/>
        </w:rPr>
        <w:t xml:space="preserve">, which looked at the </w:t>
      </w:r>
      <w:r w:rsidR="00B11A1F" w:rsidRPr="00B11A1F">
        <w:rPr>
          <w:rFonts w:cs="Times New Roman"/>
        </w:rPr>
        <w:t xml:space="preserve">following criteria: </w:t>
      </w:r>
      <w:r w:rsidR="00B11A1F" w:rsidRPr="00EC2D22">
        <w:rPr>
          <w:rFonts w:cs="Times New Roman"/>
          <w:sz w:val="20"/>
          <w:szCs w:val="20"/>
        </w:rPr>
        <w:t>Thesis/Problem</w:t>
      </w:r>
      <w:r w:rsidR="00EC2D22">
        <w:rPr>
          <w:rFonts w:cs="Times New Roman"/>
          <w:sz w:val="20"/>
          <w:szCs w:val="20"/>
        </w:rPr>
        <w:t xml:space="preserve">; </w:t>
      </w:r>
      <w:r w:rsidR="00B11A1F" w:rsidRPr="00EC2D22">
        <w:rPr>
          <w:rFonts w:cs="Times New Roman"/>
          <w:sz w:val="20"/>
          <w:szCs w:val="20"/>
        </w:rPr>
        <w:t>Information Seeking</w:t>
      </w:r>
      <w:r w:rsidR="00EC2D22">
        <w:rPr>
          <w:rFonts w:cs="Times New Roman"/>
        </w:rPr>
        <w:t xml:space="preserve">; </w:t>
      </w:r>
      <w:r w:rsidR="00B11A1F" w:rsidRPr="00EC2D22">
        <w:rPr>
          <w:rFonts w:cs="Times New Roman"/>
          <w:sz w:val="20"/>
          <w:szCs w:val="20"/>
        </w:rPr>
        <w:t>Analysis</w:t>
      </w:r>
      <w:r w:rsidR="00EC2D22">
        <w:rPr>
          <w:rFonts w:cs="Times New Roman"/>
        </w:rPr>
        <w:t xml:space="preserve">; </w:t>
      </w:r>
      <w:r w:rsidR="00B11A1F" w:rsidRPr="00EC2D22">
        <w:rPr>
          <w:rFonts w:cs="Times New Roman"/>
          <w:sz w:val="20"/>
          <w:szCs w:val="20"/>
        </w:rPr>
        <w:t>Synthesis</w:t>
      </w:r>
      <w:r w:rsidR="00EC2D22">
        <w:rPr>
          <w:rFonts w:cs="Times New Roman"/>
        </w:rPr>
        <w:t xml:space="preserve">; </w:t>
      </w:r>
      <w:r w:rsidR="00B11A1F" w:rsidRPr="00EC2D22">
        <w:rPr>
          <w:rFonts w:cs="Times New Roman"/>
          <w:sz w:val="20"/>
          <w:szCs w:val="20"/>
        </w:rPr>
        <w:t>Documentat</w:t>
      </w:r>
      <w:bookmarkStart w:id="0" w:name="_GoBack"/>
      <w:bookmarkEnd w:id="0"/>
      <w:r w:rsidR="00B11A1F" w:rsidRPr="00EC2D22">
        <w:rPr>
          <w:rFonts w:cs="Times New Roman"/>
          <w:sz w:val="20"/>
          <w:szCs w:val="20"/>
        </w:rPr>
        <w:t>ion</w:t>
      </w:r>
      <w:r w:rsidR="00EC2D22">
        <w:rPr>
          <w:rFonts w:cs="Times New Roman"/>
        </w:rPr>
        <w:t xml:space="preserve">; &amp; </w:t>
      </w:r>
      <w:r w:rsidR="00B11A1F" w:rsidRPr="00EC2D22">
        <w:rPr>
          <w:rFonts w:cs="Times New Roman"/>
          <w:sz w:val="20"/>
          <w:szCs w:val="20"/>
        </w:rPr>
        <w:t>Product/Process</w:t>
      </w:r>
      <w:r w:rsidR="00EC2D22">
        <w:rPr>
          <w:rFonts w:cs="Times New Roman"/>
          <w:sz w:val="20"/>
          <w:szCs w:val="20"/>
        </w:rPr>
        <w:t>.</w:t>
      </w:r>
      <w:r w:rsidR="00B11A1F" w:rsidRPr="00EC2D22">
        <w:rPr>
          <w:rFonts w:cs="Times New Roman"/>
          <w:sz w:val="20"/>
          <w:szCs w:val="20"/>
        </w:rPr>
        <w:t xml:space="preserve">  </w:t>
      </w:r>
      <w:r w:rsidRPr="00EC2D22">
        <w:rPr>
          <w:rFonts w:cs="Times New Roman"/>
          <w:sz w:val="20"/>
          <w:szCs w:val="20"/>
        </w:rPr>
        <w:t xml:space="preserve"> </w:t>
      </w:r>
    </w:p>
    <w:p w14:paraId="717B340B" w14:textId="77777777" w:rsidR="00B11A1F" w:rsidRPr="00EC2D22" w:rsidRDefault="00B11A1F" w:rsidP="00B11A1F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402320FA" w14:textId="50ABE982" w:rsidR="005E4BF4" w:rsidRDefault="003D7B06" w:rsidP="00B11A1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PSLO 5 was assessed, using an exit survey questionnaire.</w:t>
      </w:r>
      <w:r w:rsidR="005E4BF4">
        <w:rPr>
          <w:rFonts w:cs="Times New Roman"/>
        </w:rPr>
        <w:t xml:space="preserve"> </w:t>
      </w:r>
    </w:p>
    <w:p w14:paraId="24C14C85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6A159F8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color w:val="3366FF"/>
        </w:rPr>
      </w:pPr>
      <w:r w:rsidRPr="00B071D8">
        <w:rPr>
          <w:rFonts w:cs="Times New Roman"/>
          <w:b/>
          <w:bCs/>
          <w:color w:val="3366FF"/>
        </w:rPr>
        <w:t>What we found:</w:t>
      </w:r>
      <w:r w:rsidRPr="00B071D8">
        <w:rPr>
          <w:rFonts w:cs="Times New Roman"/>
          <w:color w:val="3366FF"/>
        </w:rPr>
        <w:t xml:space="preserve"> </w:t>
      </w:r>
    </w:p>
    <w:p w14:paraId="48357C31" w14:textId="4B98C33A" w:rsidR="00964C4C" w:rsidRPr="003A1FC8" w:rsidRDefault="00984257" w:rsidP="0098425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</w:rPr>
      </w:pPr>
      <w:r w:rsidRPr="003A1FC8">
        <w:rPr>
          <w:rFonts w:cs="Times New Roman"/>
        </w:rPr>
        <w:t xml:space="preserve">PSLO#1: </w:t>
      </w:r>
      <w:r w:rsidR="00964C4C" w:rsidRPr="003A1FC8">
        <w:rPr>
          <w:rFonts w:cs="Times New Roman"/>
        </w:rPr>
        <w:t>The following was found:</w:t>
      </w:r>
    </w:p>
    <w:p w14:paraId="32915A63" w14:textId="77777777" w:rsidR="00A3251D" w:rsidRPr="003A1FC8" w:rsidRDefault="00A3251D" w:rsidP="00A3251D">
      <w:pPr>
        <w:pStyle w:val="ListParagraph"/>
        <w:widowControl w:val="0"/>
        <w:autoSpaceDE w:val="0"/>
        <w:autoSpaceDN w:val="0"/>
        <w:adjustRightInd w:val="0"/>
        <w:rPr>
          <w:rFonts w:cs="Times New Roman"/>
        </w:rPr>
      </w:pPr>
    </w:p>
    <w:p w14:paraId="0C8D7888" w14:textId="2A55A46B" w:rsidR="00A3251D" w:rsidRPr="003A1FC8" w:rsidRDefault="00A3251D" w:rsidP="00A3251D">
      <w:pPr>
        <w:pStyle w:val="ListParagraph"/>
        <w:widowControl w:val="0"/>
        <w:autoSpaceDE w:val="0"/>
        <w:autoSpaceDN w:val="0"/>
        <w:adjustRightInd w:val="0"/>
        <w:rPr>
          <w:rFonts w:cs="Times New Roman"/>
          <w:i/>
        </w:rPr>
      </w:pPr>
      <w:r w:rsidRPr="003A1FC8">
        <w:rPr>
          <w:rFonts w:cs="Times New Roman"/>
          <w:i/>
        </w:rPr>
        <w:t>Table 1 shows results of common essay for SY 2013-2014.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808"/>
        <w:gridCol w:w="2238"/>
        <w:gridCol w:w="2449"/>
        <w:gridCol w:w="2081"/>
      </w:tblGrid>
      <w:tr w:rsidR="00B41786" w:rsidRPr="003A1FC8" w14:paraId="6A547F9C" w14:textId="13C5F3B2" w:rsidTr="000902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665CFFFB" w14:textId="084E7DF4" w:rsidR="00B41786" w:rsidRPr="003A1FC8" w:rsidRDefault="00B41786" w:rsidP="00964C4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</w:rPr>
            </w:pPr>
            <w:r w:rsidRPr="003A1FC8">
              <w:rPr>
                <w:rFonts w:cs="Times New Roman"/>
              </w:rPr>
              <w:t>Courses assessed for SY 2013-2014</w:t>
            </w:r>
          </w:p>
        </w:tc>
        <w:tc>
          <w:tcPr>
            <w:tcW w:w="2238" w:type="dxa"/>
          </w:tcPr>
          <w:p w14:paraId="18D532AD" w14:textId="3BF37054" w:rsidR="00B41786" w:rsidRPr="003A1FC8" w:rsidRDefault="00B41786" w:rsidP="00964C4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A1FC8">
              <w:rPr>
                <w:rFonts w:cs="Times New Roman"/>
              </w:rPr>
              <w:t>Total Assessed</w:t>
            </w:r>
          </w:p>
        </w:tc>
        <w:tc>
          <w:tcPr>
            <w:tcW w:w="0" w:type="auto"/>
          </w:tcPr>
          <w:p w14:paraId="61F4B7B3" w14:textId="09959AA2" w:rsidR="00B41786" w:rsidRPr="003A1FC8" w:rsidRDefault="00B41786" w:rsidP="00964C4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A1FC8">
              <w:rPr>
                <w:rFonts w:cs="Times New Roman"/>
              </w:rPr>
              <w:t xml:space="preserve">#/% of students passed with a grade </w:t>
            </w:r>
          </w:p>
          <w:p w14:paraId="4605DF4E" w14:textId="44BD9926" w:rsidR="00B41786" w:rsidRPr="003A1FC8" w:rsidRDefault="00B41786" w:rsidP="00964C4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A1FC8">
              <w:rPr>
                <w:rFonts w:cs="Times New Roman"/>
              </w:rPr>
              <w:t>C or better</w:t>
            </w:r>
          </w:p>
        </w:tc>
        <w:tc>
          <w:tcPr>
            <w:tcW w:w="0" w:type="auto"/>
          </w:tcPr>
          <w:p w14:paraId="36BD198E" w14:textId="6F3B9A2B" w:rsidR="00B41786" w:rsidRPr="003A1FC8" w:rsidRDefault="00B41786" w:rsidP="00964C4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A1FC8">
              <w:rPr>
                <w:rFonts w:cs="Times New Roman"/>
              </w:rPr>
              <w:t xml:space="preserve">#/% of students failed with a </w:t>
            </w:r>
          </w:p>
          <w:p w14:paraId="2C22A1E5" w14:textId="0F8A3C33" w:rsidR="00B41786" w:rsidRPr="003A1FC8" w:rsidRDefault="00B41786" w:rsidP="00964C4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A1FC8">
              <w:rPr>
                <w:rFonts w:cs="Times New Roman"/>
              </w:rPr>
              <w:t>grade D or lower</w:t>
            </w:r>
          </w:p>
        </w:tc>
      </w:tr>
      <w:tr w:rsidR="00B41786" w:rsidRPr="003A1FC8" w14:paraId="389065B9" w14:textId="47A9AACD" w:rsidTr="00090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46B0806D" w14:textId="5683D23D" w:rsidR="00B41786" w:rsidRPr="003A1FC8" w:rsidRDefault="00B41786" w:rsidP="00964C4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</w:rPr>
            </w:pPr>
            <w:r w:rsidRPr="003A1FC8">
              <w:rPr>
                <w:rFonts w:cs="Times New Roman"/>
              </w:rPr>
              <w:t>SS195</w:t>
            </w:r>
            <w:r w:rsidR="009C0D24" w:rsidRPr="003A1FC8">
              <w:rPr>
                <w:rFonts w:cs="Times New Roman"/>
              </w:rPr>
              <w:t>-Micronesian Cultural Studies</w:t>
            </w:r>
          </w:p>
        </w:tc>
        <w:tc>
          <w:tcPr>
            <w:tcW w:w="2238" w:type="dxa"/>
          </w:tcPr>
          <w:p w14:paraId="7C3BBFFE" w14:textId="45341B50" w:rsidR="00B41786" w:rsidRPr="003A1FC8" w:rsidRDefault="00B41786" w:rsidP="00964C4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A1FC8">
              <w:rPr>
                <w:rFonts w:cs="Times New Roman"/>
              </w:rPr>
              <w:t>47</w:t>
            </w:r>
          </w:p>
        </w:tc>
        <w:tc>
          <w:tcPr>
            <w:tcW w:w="0" w:type="auto"/>
          </w:tcPr>
          <w:p w14:paraId="1B4170C8" w14:textId="7B089B09" w:rsidR="00B41786" w:rsidRPr="003A1FC8" w:rsidRDefault="00B41786" w:rsidP="00964C4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A1FC8">
              <w:rPr>
                <w:rFonts w:cs="Times New Roman"/>
              </w:rPr>
              <w:t>41 or 87%</w:t>
            </w:r>
          </w:p>
        </w:tc>
        <w:tc>
          <w:tcPr>
            <w:tcW w:w="0" w:type="auto"/>
          </w:tcPr>
          <w:p w14:paraId="530A67CB" w14:textId="14309358" w:rsidR="00B41786" w:rsidRPr="003A1FC8" w:rsidRDefault="00B41786" w:rsidP="00964C4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A1FC8">
              <w:rPr>
                <w:rFonts w:cs="Times New Roman"/>
              </w:rPr>
              <w:t>6 or 13%</w:t>
            </w:r>
          </w:p>
        </w:tc>
      </w:tr>
      <w:tr w:rsidR="00B41786" w:rsidRPr="003A1FC8" w14:paraId="78ECE3AF" w14:textId="513CB11C" w:rsidTr="00090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169B4579" w14:textId="537D4A91" w:rsidR="00B41786" w:rsidRPr="003A1FC8" w:rsidRDefault="00B41786" w:rsidP="00964C4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</w:rPr>
            </w:pPr>
            <w:r w:rsidRPr="003A1FC8">
              <w:rPr>
                <w:rFonts w:cs="Times New Roman"/>
              </w:rPr>
              <w:t>SS200</w:t>
            </w:r>
            <w:r w:rsidR="009C0D24" w:rsidRPr="003A1FC8">
              <w:rPr>
                <w:rFonts w:cs="Times New Roman"/>
              </w:rPr>
              <w:t>-Research Methods</w:t>
            </w:r>
          </w:p>
        </w:tc>
        <w:tc>
          <w:tcPr>
            <w:tcW w:w="2238" w:type="dxa"/>
          </w:tcPr>
          <w:p w14:paraId="5DC4EF93" w14:textId="5C965A75" w:rsidR="00B41786" w:rsidRPr="003A1FC8" w:rsidRDefault="00B41786" w:rsidP="00964C4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A1FC8">
              <w:rPr>
                <w:rFonts w:cs="Times New Roman"/>
              </w:rPr>
              <w:t>41</w:t>
            </w:r>
          </w:p>
        </w:tc>
        <w:tc>
          <w:tcPr>
            <w:tcW w:w="0" w:type="auto"/>
          </w:tcPr>
          <w:p w14:paraId="6727B237" w14:textId="1CEB6EA3" w:rsidR="00B41786" w:rsidRPr="003A1FC8" w:rsidRDefault="00B41786" w:rsidP="00964C4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A1FC8">
              <w:rPr>
                <w:rFonts w:cs="Times New Roman"/>
              </w:rPr>
              <w:t>35 or 85%</w:t>
            </w:r>
          </w:p>
        </w:tc>
        <w:tc>
          <w:tcPr>
            <w:tcW w:w="0" w:type="auto"/>
          </w:tcPr>
          <w:p w14:paraId="20635B43" w14:textId="4CDCD84A" w:rsidR="00B41786" w:rsidRPr="003A1FC8" w:rsidRDefault="000509F1" w:rsidP="00964C4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A1FC8">
              <w:rPr>
                <w:rFonts w:cs="Times New Roman"/>
              </w:rPr>
              <w:t>6 or 15</w:t>
            </w:r>
            <w:r w:rsidR="00090292" w:rsidRPr="003A1FC8">
              <w:rPr>
                <w:rFonts w:cs="Times New Roman"/>
              </w:rPr>
              <w:t>%</w:t>
            </w:r>
          </w:p>
        </w:tc>
      </w:tr>
      <w:tr w:rsidR="00B41786" w:rsidRPr="003A1FC8" w14:paraId="7F631FDB" w14:textId="1EB0D5E2" w:rsidTr="00090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32E7AC82" w14:textId="1FA5807F" w:rsidR="00B41786" w:rsidRPr="003A1FC8" w:rsidRDefault="00B41786" w:rsidP="00964C4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</w:rPr>
            </w:pPr>
            <w:r w:rsidRPr="003A1FC8">
              <w:rPr>
                <w:rFonts w:cs="Times New Roman"/>
              </w:rPr>
              <w:t>SS205</w:t>
            </w:r>
            <w:r w:rsidR="009C0D24" w:rsidRPr="003A1FC8">
              <w:rPr>
                <w:rFonts w:cs="Times New Roman"/>
              </w:rPr>
              <w:t>-Micro. Gov’t &amp; Politics</w:t>
            </w:r>
          </w:p>
        </w:tc>
        <w:tc>
          <w:tcPr>
            <w:tcW w:w="2238" w:type="dxa"/>
          </w:tcPr>
          <w:p w14:paraId="7CD1BB7C" w14:textId="0E4CB129" w:rsidR="00B41786" w:rsidRPr="003A1FC8" w:rsidRDefault="00B41786" w:rsidP="00964C4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A1FC8">
              <w:rPr>
                <w:rFonts w:cs="Times New Roman"/>
              </w:rPr>
              <w:t>28</w:t>
            </w:r>
          </w:p>
        </w:tc>
        <w:tc>
          <w:tcPr>
            <w:tcW w:w="0" w:type="auto"/>
          </w:tcPr>
          <w:p w14:paraId="15127019" w14:textId="2B9E1235" w:rsidR="00B41786" w:rsidRPr="003A1FC8" w:rsidRDefault="00B41786" w:rsidP="00964C4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A1FC8">
              <w:rPr>
                <w:rFonts w:cs="Times New Roman"/>
              </w:rPr>
              <w:t>19</w:t>
            </w:r>
            <w:r w:rsidR="00090292" w:rsidRPr="003A1FC8">
              <w:rPr>
                <w:rFonts w:cs="Times New Roman"/>
              </w:rPr>
              <w:t xml:space="preserve"> or 68%</w:t>
            </w:r>
          </w:p>
        </w:tc>
        <w:tc>
          <w:tcPr>
            <w:tcW w:w="0" w:type="auto"/>
          </w:tcPr>
          <w:p w14:paraId="010A0FF4" w14:textId="35348240" w:rsidR="00B41786" w:rsidRPr="003A1FC8" w:rsidRDefault="000509F1" w:rsidP="00964C4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A1FC8">
              <w:rPr>
                <w:rFonts w:cs="Times New Roman"/>
              </w:rPr>
              <w:t>9 or 32</w:t>
            </w:r>
            <w:r w:rsidR="00090292" w:rsidRPr="003A1FC8">
              <w:rPr>
                <w:rFonts w:cs="Times New Roman"/>
              </w:rPr>
              <w:t>%</w:t>
            </w:r>
          </w:p>
        </w:tc>
      </w:tr>
      <w:tr w:rsidR="00B41786" w:rsidRPr="003A1FC8" w14:paraId="727998F0" w14:textId="7A12B6BD" w:rsidTr="00090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18CA1E48" w14:textId="3D6DF449" w:rsidR="00B41786" w:rsidRPr="003A1FC8" w:rsidRDefault="00B41786" w:rsidP="00964C4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</w:rPr>
            </w:pPr>
            <w:r w:rsidRPr="003A1FC8">
              <w:rPr>
                <w:rFonts w:cs="Times New Roman"/>
              </w:rPr>
              <w:t>SS212</w:t>
            </w:r>
            <w:r w:rsidR="009C0D24" w:rsidRPr="003A1FC8">
              <w:rPr>
                <w:rFonts w:cs="Times New Roman"/>
              </w:rPr>
              <w:t>-Econ. Of Micronesia</w:t>
            </w:r>
          </w:p>
        </w:tc>
        <w:tc>
          <w:tcPr>
            <w:tcW w:w="2238" w:type="dxa"/>
          </w:tcPr>
          <w:p w14:paraId="1CF85E3D" w14:textId="5FE7EA5B" w:rsidR="00B41786" w:rsidRPr="003A1FC8" w:rsidRDefault="00B41786" w:rsidP="00964C4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A1FC8">
              <w:rPr>
                <w:rFonts w:cs="Times New Roman"/>
              </w:rPr>
              <w:t>43</w:t>
            </w:r>
          </w:p>
        </w:tc>
        <w:tc>
          <w:tcPr>
            <w:tcW w:w="0" w:type="auto"/>
          </w:tcPr>
          <w:p w14:paraId="7F4418D5" w14:textId="637D610F" w:rsidR="00B41786" w:rsidRPr="003A1FC8" w:rsidRDefault="00B41786" w:rsidP="00964C4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A1FC8">
              <w:rPr>
                <w:rFonts w:cs="Times New Roman"/>
              </w:rPr>
              <w:t>38</w:t>
            </w:r>
            <w:r w:rsidR="00090292" w:rsidRPr="003A1FC8">
              <w:rPr>
                <w:rFonts w:cs="Times New Roman"/>
              </w:rPr>
              <w:t xml:space="preserve"> or 88%</w:t>
            </w:r>
          </w:p>
        </w:tc>
        <w:tc>
          <w:tcPr>
            <w:tcW w:w="0" w:type="auto"/>
          </w:tcPr>
          <w:p w14:paraId="3AF96C38" w14:textId="09C13D92" w:rsidR="00B41786" w:rsidRPr="003A1FC8" w:rsidRDefault="00B41786" w:rsidP="00964C4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A1FC8">
              <w:rPr>
                <w:rFonts w:cs="Times New Roman"/>
              </w:rPr>
              <w:t>5</w:t>
            </w:r>
            <w:r w:rsidR="000509F1" w:rsidRPr="003A1FC8">
              <w:rPr>
                <w:rFonts w:cs="Times New Roman"/>
              </w:rPr>
              <w:t xml:space="preserve"> or 12</w:t>
            </w:r>
            <w:r w:rsidR="00090292" w:rsidRPr="003A1FC8">
              <w:rPr>
                <w:rFonts w:cs="Times New Roman"/>
              </w:rPr>
              <w:t xml:space="preserve">% </w:t>
            </w:r>
          </w:p>
        </w:tc>
      </w:tr>
      <w:tr w:rsidR="00B41786" w:rsidRPr="003A1FC8" w14:paraId="7FEF1209" w14:textId="0DB97398" w:rsidTr="00090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3DED2F3E" w14:textId="3E41636B" w:rsidR="00B41786" w:rsidRPr="003A1FC8" w:rsidRDefault="00B41786" w:rsidP="00964C4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</w:rPr>
            </w:pPr>
            <w:r w:rsidRPr="003A1FC8">
              <w:rPr>
                <w:rFonts w:cs="Times New Roman"/>
              </w:rPr>
              <w:t>SS220</w:t>
            </w:r>
            <w:r w:rsidR="009C0D24" w:rsidRPr="003A1FC8">
              <w:rPr>
                <w:rFonts w:cs="Times New Roman"/>
              </w:rPr>
              <w:t xml:space="preserve">-Contemporary Issues </w:t>
            </w:r>
          </w:p>
        </w:tc>
        <w:tc>
          <w:tcPr>
            <w:tcW w:w="2238" w:type="dxa"/>
          </w:tcPr>
          <w:p w14:paraId="4F3A2155" w14:textId="321932FF" w:rsidR="00B41786" w:rsidRPr="003A1FC8" w:rsidRDefault="009740B6" w:rsidP="00964C4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A1FC8">
              <w:rPr>
                <w:rFonts w:cs="Times New Roman"/>
              </w:rPr>
              <w:t>32</w:t>
            </w:r>
          </w:p>
        </w:tc>
        <w:tc>
          <w:tcPr>
            <w:tcW w:w="0" w:type="auto"/>
          </w:tcPr>
          <w:p w14:paraId="041DA27C" w14:textId="020E0B4C" w:rsidR="00B41786" w:rsidRPr="003A1FC8" w:rsidRDefault="009740B6" w:rsidP="00964C4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A1FC8">
              <w:rPr>
                <w:rFonts w:cs="Times New Roman"/>
              </w:rPr>
              <w:t>31 or 97%</w:t>
            </w:r>
            <w:r w:rsidR="00090292" w:rsidRPr="003A1FC8">
              <w:rPr>
                <w:rFonts w:cs="Times New Roman"/>
              </w:rPr>
              <w:t>%</w:t>
            </w:r>
          </w:p>
        </w:tc>
        <w:tc>
          <w:tcPr>
            <w:tcW w:w="0" w:type="auto"/>
          </w:tcPr>
          <w:p w14:paraId="1E943A21" w14:textId="64F4CF4A" w:rsidR="00B41786" w:rsidRPr="003A1FC8" w:rsidRDefault="00B41786" w:rsidP="00964C4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A1FC8">
              <w:rPr>
                <w:rFonts w:cs="Times New Roman"/>
              </w:rPr>
              <w:t>1</w:t>
            </w:r>
            <w:r w:rsidR="009740B6" w:rsidRPr="003A1FC8">
              <w:rPr>
                <w:rFonts w:cs="Times New Roman"/>
              </w:rPr>
              <w:t>or 3.1</w:t>
            </w:r>
            <w:r w:rsidR="00090292" w:rsidRPr="003A1FC8">
              <w:rPr>
                <w:rFonts w:cs="Times New Roman"/>
              </w:rPr>
              <w:t>%</w:t>
            </w:r>
          </w:p>
        </w:tc>
      </w:tr>
      <w:tr w:rsidR="00B41786" w:rsidRPr="003A1FC8" w14:paraId="06B58FE4" w14:textId="3786C866" w:rsidTr="00090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4D47813F" w14:textId="6D8FE3F9" w:rsidR="00B41786" w:rsidRPr="003A1FC8" w:rsidRDefault="00B41786" w:rsidP="00964C4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</w:rPr>
            </w:pPr>
            <w:r w:rsidRPr="003A1FC8">
              <w:rPr>
                <w:rFonts w:cs="Times New Roman"/>
              </w:rPr>
              <w:t>SS280</w:t>
            </w:r>
            <w:r w:rsidR="009C0D24" w:rsidRPr="003A1FC8">
              <w:rPr>
                <w:rFonts w:cs="Times New Roman"/>
              </w:rPr>
              <w:t>-Directed Study</w:t>
            </w:r>
          </w:p>
        </w:tc>
        <w:tc>
          <w:tcPr>
            <w:tcW w:w="2238" w:type="dxa"/>
          </w:tcPr>
          <w:p w14:paraId="4B362FF8" w14:textId="12E33B63" w:rsidR="00B41786" w:rsidRPr="003A1FC8" w:rsidRDefault="00B41786" w:rsidP="00964C4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A1FC8">
              <w:rPr>
                <w:rFonts w:cs="Times New Roman"/>
              </w:rPr>
              <w:t>13</w:t>
            </w:r>
          </w:p>
        </w:tc>
        <w:tc>
          <w:tcPr>
            <w:tcW w:w="0" w:type="auto"/>
          </w:tcPr>
          <w:p w14:paraId="78DB0E03" w14:textId="7319026B" w:rsidR="00B41786" w:rsidRPr="003A1FC8" w:rsidRDefault="00B41786" w:rsidP="00964C4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A1FC8">
              <w:rPr>
                <w:rFonts w:cs="Times New Roman"/>
              </w:rPr>
              <w:t>12</w:t>
            </w:r>
            <w:r w:rsidR="00090292" w:rsidRPr="003A1FC8">
              <w:rPr>
                <w:rFonts w:cs="Times New Roman"/>
              </w:rPr>
              <w:t xml:space="preserve"> or 92%</w:t>
            </w:r>
          </w:p>
        </w:tc>
        <w:tc>
          <w:tcPr>
            <w:tcW w:w="0" w:type="auto"/>
          </w:tcPr>
          <w:p w14:paraId="48C2C4AD" w14:textId="059C5378" w:rsidR="00B41786" w:rsidRPr="003A1FC8" w:rsidRDefault="00B41786" w:rsidP="00964C4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A1FC8">
              <w:rPr>
                <w:rFonts w:cs="Times New Roman"/>
              </w:rPr>
              <w:t>1</w:t>
            </w:r>
            <w:r w:rsidR="000509F1" w:rsidRPr="003A1FC8">
              <w:rPr>
                <w:rFonts w:cs="Times New Roman"/>
              </w:rPr>
              <w:t xml:space="preserve"> or 8</w:t>
            </w:r>
            <w:r w:rsidR="00090292" w:rsidRPr="003A1FC8">
              <w:rPr>
                <w:rFonts w:cs="Times New Roman"/>
              </w:rPr>
              <w:t>%</w:t>
            </w:r>
          </w:p>
        </w:tc>
      </w:tr>
    </w:tbl>
    <w:p w14:paraId="6D02E8C2" w14:textId="77777777" w:rsidR="00964C4C" w:rsidRPr="003A1FC8" w:rsidRDefault="00964C4C" w:rsidP="00964C4C">
      <w:pPr>
        <w:pStyle w:val="ListParagraph"/>
        <w:widowControl w:val="0"/>
        <w:autoSpaceDE w:val="0"/>
        <w:autoSpaceDN w:val="0"/>
        <w:adjustRightInd w:val="0"/>
        <w:rPr>
          <w:rFonts w:cs="Times New Roman"/>
        </w:rPr>
      </w:pPr>
    </w:p>
    <w:p w14:paraId="192A6898" w14:textId="5EE9FDBF" w:rsidR="00090292" w:rsidRPr="003A1FC8" w:rsidRDefault="003A1FC8" w:rsidP="006E14F6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</w:rPr>
      </w:pPr>
      <w:r w:rsidRPr="003A1FC8">
        <w:rPr>
          <w:rFonts w:cs="Times New Roman"/>
        </w:rPr>
        <w:t xml:space="preserve">PSLO#1: </w:t>
      </w:r>
      <w:r w:rsidR="00311032" w:rsidRPr="003A1FC8">
        <w:rPr>
          <w:rFonts w:cs="Times New Roman"/>
        </w:rPr>
        <w:t>T</w:t>
      </w:r>
      <w:r w:rsidR="00090292" w:rsidRPr="003A1FC8">
        <w:rPr>
          <w:rFonts w:cs="Times New Roman"/>
        </w:rPr>
        <w:t xml:space="preserve">he weakest response as was seen from </w:t>
      </w:r>
      <w:proofErr w:type="gramStart"/>
      <w:r w:rsidR="00090292" w:rsidRPr="003A1FC8">
        <w:rPr>
          <w:rFonts w:cs="Times New Roman"/>
        </w:rPr>
        <w:t>Fall</w:t>
      </w:r>
      <w:proofErr w:type="gramEnd"/>
      <w:r w:rsidR="00090292" w:rsidRPr="003A1FC8">
        <w:rPr>
          <w:rFonts w:cs="Times New Roman"/>
        </w:rPr>
        <w:t xml:space="preserve"> 2013 and then in Spring 2014 </w:t>
      </w:r>
      <w:r w:rsidR="00446DF1" w:rsidRPr="003A1FC8">
        <w:rPr>
          <w:rFonts w:cs="Times New Roman"/>
        </w:rPr>
        <w:t>was still</w:t>
      </w:r>
      <w:r w:rsidR="00090292" w:rsidRPr="003A1FC8">
        <w:rPr>
          <w:rFonts w:cs="Times New Roman"/>
        </w:rPr>
        <w:t xml:space="preserve"> in the area of "Economy". Here, students either failed to respond to the concept of economy or they only gave a general explanation of the concept.</w:t>
      </w:r>
      <w:r w:rsidR="00A47222" w:rsidRPr="003A1FC8">
        <w:rPr>
          <w:rFonts w:cs="Times New Roman"/>
        </w:rPr>
        <w:t xml:space="preserve"> </w:t>
      </w:r>
      <w:r w:rsidR="00446DF1" w:rsidRPr="003A1FC8">
        <w:rPr>
          <w:rFonts w:cs="Times New Roman"/>
        </w:rPr>
        <w:t xml:space="preserve">See </w:t>
      </w:r>
      <w:r w:rsidR="00446DF1" w:rsidRPr="003A1FC8">
        <w:rPr>
          <w:rFonts w:cs="Times New Roman"/>
          <w:i/>
        </w:rPr>
        <w:t>T</w:t>
      </w:r>
      <w:r w:rsidR="00311032" w:rsidRPr="003A1FC8">
        <w:rPr>
          <w:rFonts w:cs="Times New Roman"/>
          <w:i/>
        </w:rPr>
        <w:t>abl</w:t>
      </w:r>
      <w:r w:rsidR="00446DF1" w:rsidRPr="003A1FC8">
        <w:rPr>
          <w:rFonts w:cs="Times New Roman"/>
          <w:i/>
        </w:rPr>
        <w:t>e 1</w:t>
      </w:r>
      <w:r w:rsidR="00311032" w:rsidRPr="003A1FC8">
        <w:rPr>
          <w:rFonts w:cs="Times New Roman"/>
        </w:rPr>
        <w:t xml:space="preserve"> for overall results.</w:t>
      </w:r>
    </w:p>
    <w:p w14:paraId="2E278B9D" w14:textId="72FCEBCA" w:rsidR="00C66B9F" w:rsidRPr="003A1FC8" w:rsidRDefault="003A1FC8" w:rsidP="003A1FC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lastRenderedPageBreak/>
        <w:t xml:space="preserve">PSLO#3: Overall </w:t>
      </w:r>
      <w:r w:rsidR="00984257" w:rsidRPr="003A1FC8">
        <w:rPr>
          <w:rFonts w:cs="Times New Roman"/>
        </w:rPr>
        <w:t>results indicate that</w:t>
      </w:r>
      <w:r w:rsidR="00C66B9F" w:rsidRPr="003A1FC8">
        <w:rPr>
          <w:rFonts w:cs="Times New Roman"/>
        </w:rPr>
        <w:t xml:space="preserve"> the passing rate of students</w:t>
      </w:r>
      <w:r w:rsidR="00D34814" w:rsidRPr="003A1FC8">
        <w:rPr>
          <w:rFonts w:cs="Times New Roman"/>
        </w:rPr>
        <w:t xml:space="preserve"> </w:t>
      </w:r>
      <w:r>
        <w:rPr>
          <w:rFonts w:cs="Times New Roman"/>
        </w:rPr>
        <w:t xml:space="preserve">was </w:t>
      </w:r>
      <w:r w:rsidR="00D34814" w:rsidRPr="003A1FC8">
        <w:rPr>
          <w:rFonts w:cs="Times New Roman"/>
        </w:rPr>
        <w:t>around 70</w:t>
      </w:r>
      <w:r w:rsidR="00984257" w:rsidRPr="003A1FC8">
        <w:rPr>
          <w:rFonts w:cs="Times New Roman"/>
        </w:rPr>
        <w:t>%</w:t>
      </w:r>
      <w:r>
        <w:rPr>
          <w:rFonts w:cs="Times New Roman"/>
        </w:rPr>
        <w:t xml:space="preserve"> for both SS200 and SS280</w:t>
      </w:r>
      <w:r w:rsidR="00984257" w:rsidRPr="003A1FC8">
        <w:rPr>
          <w:rFonts w:cs="Times New Roman"/>
        </w:rPr>
        <w:t xml:space="preserve">. </w:t>
      </w:r>
      <w:r w:rsidR="00A3251D" w:rsidRPr="003A1FC8">
        <w:rPr>
          <w:rFonts w:cs="Times New Roman"/>
        </w:rPr>
        <w:t>Figure 1 shows results of each criterion assessed for SS280 &amp; SS200 research papers.</w:t>
      </w:r>
    </w:p>
    <w:p w14:paraId="43BF59D8" w14:textId="730D7244" w:rsidR="00D812C6" w:rsidRPr="003A1FC8" w:rsidRDefault="00D812C6" w:rsidP="00C66B9F">
      <w:pPr>
        <w:pStyle w:val="ListParagraph"/>
        <w:widowControl w:val="0"/>
        <w:autoSpaceDE w:val="0"/>
        <w:autoSpaceDN w:val="0"/>
        <w:adjustRightInd w:val="0"/>
        <w:rPr>
          <w:rFonts w:cs="Times New Roman"/>
        </w:rPr>
      </w:pPr>
      <w:r w:rsidRPr="003A1FC8">
        <w:rPr>
          <w:noProof/>
        </w:rPr>
        <w:drawing>
          <wp:inline distT="0" distB="0" distL="0" distR="0" wp14:anchorId="65E5901D" wp14:editId="32D69AA7">
            <wp:extent cx="3524250" cy="180975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162C475" w14:textId="42FA7E9E" w:rsidR="00D34814" w:rsidRPr="003A1FC8" w:rsidRDefault="00D34814" w:rsidP="00D3481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</w:rPr>
      </w:pPr>
      <w:r w:rsidRPr="003A1FC8">
        <w:rPr>
          <w:rFonts w:cs="Times New Roman"/>
        </w:rPr>
        <w:t xml:space="preserve">Results show that </w:t>
      </w:r>
      <w:r w:rsidR="00446DF1" w:rsidRPr="003A1FC8">
        <w:rPr>
          <w:rFonts w:cs="Times New Roman"/>
        </w:rPr>
        <w:t>the weakest area</w:t>
      </w:r>
      <w:r w:rsidR="00311032" w:rsidRPr="003A1FC8">
        <w:rPr>
          <w:rFonts w:cs="Times New Roman"/>
        </w:rPr>
        <w:t xml:space="preserve"> in research </w:t>
      </w:r>
      <w:r w:rsidR="00446DF1" w:rsidRPr="003A1FC8">
        <w:rPr>
          <w:rFonts w:cs="Times New Roman"/>
        </w:rPr>
        <w:t>for</w:t>
      </w:r>
      <w:r w:rsidR="003A1FC8">
        <w:rPr>
          <w:rFonts w:cs="Times New Roman"/>
        </w:rPr>
        <w:t xml:space="preserve"> students is</w:t>
      </w:r>
      <w:r w:rsidR="00446DF1" w:rsidRPr="003A1FC8">
        <w:rPr>
          <w:rFonts w:cs="Times New Roman"/>
        </w:rPr>
        <w:t xml:space="preserve"> on</w:t>
      </w:r>
      <w:r w:rsidR="00311032" w:rsidRPr="003A1FC8">
        <w:rPr>
          <w:rFonts w:cs="Times New Roman"/>
        </w:rPr>
        <w:t xml:space="preserve"> </w:t>
      </w:r>
      <w:r w:rsidR="00446DF1" w:rsidRPr="003A1FC8">
        <w:rPr>
          <w:rFonts w:cs="Times New Roman"/>
        </w:rPr>
        <w:t>“</w:t>
      </w:r>
      <w:r w:rsidR="00311032" w:rsidRPr="003A1FC8">
        <w:rPr>
          <w:rFonts w:cs="Times New Roman"/>
        </w:rPr>
        <w:t>Analysis</w:t>
      </w:r>
      <w:r w:rsidR="00446DF1" w:rsidRPr="003A1FC8">
        <w:rPr>
          <w:rFonts w:cs="Times New Roman"/>
        </w:rPr>
        <w:t>” at 58%</w:t>
      </w:r>
      <w:r w:rsidR="00311032" w:rsidRPr="003A1FC8">
        <w:rPr>
          <w:rFonts w:cs="Times New Roman"/>
        </w:rPr>
        <w:t>.</w:t>
      </w:r>
    </w:p>
    <w:p w14:paraId="76FD87F9" w14:textId="77777777" w:rsidR="00D34814" w:rsidRPr="003A1FC8" w:rsidRDefault="00D34814" w:rsidP="00D34814">
      <w:pPr>
        <w:pStyle w:val="ListParagraph"/>
        <w:widowControl w:val="0"/>
        <w:autoSpaceDE w:val="0"/>
        <w:autoSpaceDN w:val="0"/>
        <w:adjustRightInd w:val="0"/>
        <w:rPr>
          <w:rFonts w:cs="Times New Roman"/>
        </w:rPr>
      </w:pPr>
    </w:p>
    <w:p w14:paraId="0014DE57" w14:textId="396867C7" w:rsidR="00D34814" w:rsidRPr="003A1FC8" w:rsidRDefault="00984257" w:rsidP="0098425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rebuchet MS" w:hAnsi="Trebuchet MS" w:cs="Trebuchet MS"/>
        </w:rPr>
      </w:pPr>
      <w:r w:rsidRPr="003A1FC8">
        <w:rPr>
          <w:rFonts w:cs="Times New Roman"/>
        </w:rPr>
        <w:t>PSLO#5: A total of 21 students were given the exit survey question</w:t>
      </w:r>
      <w:r w:rsidR="00446DF1" w:rsidRPr="003A1FC8">
        <w:rPr>
          <w:rFonts w:cs="Times New Roman"/>
        </w:rPr>
        <w:t>naire. I</w:t>
      </w:r>
      <w:r w:rsidRPr="003A1FC8">
        <w:rPr>
          <w:rFonts w:cs="Times New Roman"/>
        </w:rPr>
        <w:t xml:space="preserve">n general, students are satisfied with the overall program. </w:t>
      </w:r>
      <w:r w:rsidR="00446DF1" w:rsidRPr="003A1FC8">
        <w:rPr>
          <w:rFonts w:cs="Times New Roman"/>
        </w:rPr>
        <w:t>However, the SS faculty feel that the exit survey was not a good tool to measure “appreciation of the requirements of good citizenship”</w:t>
      </w:r>
    </w:p>
    <w:p w14:paraId="60EDC0B9" w14:textId="77777777" w:rsidR="00D34814" w:rsidRPr="003A1FC8" w:rsidRDefault="00D34814" w:rsidP="00D34814">
      <w:pPr>
        <w:pStyle w:val="ListParagraph"/>
        <w:rPr>
          <w:rFonts w:cs="Times New Roman"/>
          <w:b/>
          <w:bCs/>
          <w:color w:val="3366FF"/>
        </w:rPr>
      </w:pPr>
    </w:p>
    <w:p w14:paraId="6B2F82C2" w14:textId="3BA26AF3" w:rsidR="00984257" w:rsidRPr="003A1FC8" w:rsidRDefault="00B76257" w:rsidP="00D34814">
      <w:pPr>
        <w:widowControl w:val="0"/>
        <w:autoSpaceDE w:val="0"/>
        <w:autoSpaceDN w:val="0"/>
        <w:adjustRightInd w:val="0"/>
        <w:rPr>
          <w:rFonts w:ascii="Trebuchet MS" w:hAnsi="Trebuchet MS" w:cs="Trebuchet MS"/>
        </w:rPr>
      </w:pPr>
      <w:r w:rsidRPr="003A1FC8">
        <w:rPr>
          <w:rFonts w:cs="Times New Roman"/>
          <w:b/>
          <w:bCs/>
          <w:color w:val="3366FF"/>
        </w:rPr>
        <w:t>What we are planning to work on:</w:t>
      </w:r>
      <w:r w:rsidR="002353B5" w:rsidRPr="003A1FC8">
        <w:rPr>
          <w:rFonts w:cs="Times New Roman"/>
          <w:b/>
          <w:bCs/>
          <w:color w:val="3366FF"/>
        </w:rPr>
        <w:t xml:space="preserve"> </w:t>
      </w:r>
    </w:p>
    <w:p w14:paraId="66E78108" w14:textId="2A12F771" w:rsidR="0039303D" w:rsidRPr="003A1FC8" w:rsidRDefault="003A1FC8" w:rsidP="0098425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</w:rPr>
      </w:pPr>
      <w:r w:rsidRPr="003A1FC8">
        <w:rPr>
          <w:rFonts w:cs="Times New Roman"/>
        </w:rPr>
        <w:t>PSLO1-</w:t>
      </w:r>
      <w:r w:rsidR="0039303D" w:rsidRPr="003A1FC8">
        <w:rPr>
          <w:rFonts w:cs="Times New Roman"/>
        </w:rPr>
        <w:t>At the course-level, have focused topics on major concepts to allow more writing. Develop another Economy course, as a focused elective.</w:t>
      </w:r>
    </w:p>
    <w:p w14:paraId="4FC23A14" w14:textId="34AB73EE" w:rsidR="004432F0" w:rsidRPr="003A1FC8" w:rsidRDefault="003A1FC8" w:rsidP="0098425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</w:rPr>
      </w:pPr>
      <w:r w:rsidRPr="003A1FC8">
        <w:rPr>
          <w:rFonts w:cs="Times New Roman"/>
        </w:rPr>
        <w:t>PSLO3-</w:t>
      </w:r>
      <w:r w:rsidR="0039303D" w:rsidRPr="003A1FC8">
        <w:rPr>
          <w:rFonts w:cs="Times New Roman"/>
        </w:rPr>
        <w:t>Add</w:t>
      </w:r>
      <w:r w:rsidR="004432F0" w:rsidRPr="003A1FC8">
        <w:rPr>
          <w:rFonts w:cs="Times New Roman"/>
        </w:rPr>
        <w:t xml:space="preserve"> </w:t>
      </w:r>
      <w:r w:rsidR="0039303D" w:rsidRPr="003A1FC8">
        <w:rPr>
          <w:rFonts w:cs="Times New Roman"/>
        </w:rPr>
        <w:t>more analytical class exercises in SS courses.</w:t>
      </w:r>
    </w:p>
    <w:p w14:paraId="4E7820AA" w14:textId="308B4F0C" w:rsidR="0039303D" w:rsidRPr="003A1FC8" w:rsidRDefault="003A1FC8" w:rsidP="0098425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</w:rPr>
      </w:pPr>
      <w:r w:rsidRPr="003A1FC8">
        <w:rPr>
          <w:rFonts w:cs="Times New Roman"/>
        </w:rPr>
        <w:t>PSLO5-</w:t>
      </w:r>
      <w:r w:rsidR="0039303D" w:rsidRPr="003A1FC8">
        <w:rPr>
          <w:rFonts w:cs="Times New Roman"/>
        </w:rPr>
        <w:t>Either change wording of P</w:t>
      </w:r>
      <w:r w:rsidR="00446DF1" w:rsidRPr="003A1FC8">
        <w:rPr>
          <w:rFonts w:cs="Times New Roman"/>
        </w:rPr>
        <w:t>S</w:t>
      </w:r>
      <w:r w:rsidR="0039303D" w:rsidRPr="003A1FC8">
        <w:rPr>
          <w:rFonts w:cs="Times New Roman"/>
        </w:rPr>
        <w:t xml:space="preserve">LO 5 or </w:t>
      </w:r>
      <w:r w:rsidR="00446DF1" w:rsidRPr="003A1FC8">
        <w:rPr>
          <w:rFonts w:cs="Times New Roman"/>
        </w:rPr>
        <w:t>remove</w:t>
      </w:r>
      <w:r w:rsidR="0039303D" w:rsidRPr="003A1FC8">
        <w:rPr>
          <w:rFonts w:cs="Times New Roman"/>
        </w:rPr>
        <w:t xml:space="preserve"> it</w:t>
      </w:r>
      <w:r w:rsidR="00446DF1" w:rsidRPr="003A1FC8">
        <w:rPr>
          <w:rFonts w:cs="Times New Roman"/>
        </w:rPr>
        <w:t>.</w:t>
      </w:r>
      <w:r w:rsidR="0039303D" w:rsidRPr="003A1FC8">
        <w:rPr>
          <w:rFonts w:cs="Times New Roman"/>
        </w:rPr>
        <w:t xml:space="preserve"> </w:t>
      </w:r>
    </w:p>
    <w:p w14:paraId="1158706F" w14:textId="77777777" w:rsidR="00B76257" w:rsidRPr="003A1FC8" w:rsidRDefault="00B76257" w:rsidP="00B76257">
      <w:pPr>
        <w:rPr>
          <w:rFonts w:cs="Times New Roman"/>
          <w:color w:val="3366FF"/>
        </w:rPr>
      </w:pPr>
      <w:r w:rsidRPr="003A1FC8">
        <w:rPr>
          <w:rFonts w:cs="Times New Roman"/>
          <w:b/>
          <w:bCs/>
          <w:color w:val="3366FF"/>
        </w:rPr>
        <w:t>Recommendations for students:</w:t>
      </w:r>
      <w:r w:rsidRPr="003A1FC8">
        <w:rPr>
          <w:rFonts w:cs="Times New Roman"/>
          <w:color w:val="3366FF"/>
        </w:rPr>
        <w:t xml:space="preserve"> </w:t>
      </w:r>
    </w:p>
    <w:p w14:paraId="4119000F" w14:textId="74513985" w:rsidR="001121EB" w:rsidRPr="003A1FC8" w:rsidRDefault="001121EB" w:rsidP="001121EB">
      <w:pPr>
        <w:pStyle w:val="ListParagraph"/>
        <w:numPr>
          <w:ilvl w:val="0"/>
          <w:numId w:val="18"/>
        </w:numPr>
        <w:rPr>
          <w:rFonts w:cs="Times New Roman"/>
        </w:rPr>
      </w:pPr>
      <w:r w:rsidRPr="003A1FC8">
        <w:rPr>
          <w:rFonts w:cs="Times New Roman"/>
        </w:rPr>
        <w:t>Students must have good reading and writin</w:t>
      </w:r>
      <w:r w:rsidR="00446DF1" w:rsidRPr="003A1FC8">
        <w:rPr>
          <w:rFonts w:cs="Times New Roman"/>
        </w:rPr>
        <w:t xml:space="preserve">g skills to articulate ideas, </w:t>
      </w:r>
      <w:r w:rsidRPr="003A1FC8">
        <w:rPr>
          <w:rFonts w:cs="Times New Roman"/>
        </w:rPr>
        <w:t>both in written and oral communication.</w:t>
      </w:r>
    </w:p>
    <w:p w14:paraId="2AE8BAD1" w14:textId="7A449349" w:rsidR="005E29DB" w:rsidRPr="003A1FC8" w:rsidRDefault="006C6653" w:rsidP="00B76257">
      <w:pPr>
        <w:pStyle w:val="ListParagraph"/>
        <w:numPr>
          <w:ilvl w:val="0"/>
          <w:numId w:val="18"/>
        </w:numPr>
        <w:rPr>
          <w:rFonts w:cs="Times New Roman"/>
        </w:rPr>
      </w:pPr>
      <w:r w:rsidRPr="003A1FC8">
        <w:rPr>
          <w:rFonts w:cs="Times New Roman"/>
        </w:rPr>
        <w:t>Students seek advice of the Micronesian Studies Program advisors in terms of course-planning.</w:t>
      </w:r>
    </w:p>
    <w:sectPr w:rsidR="005E29DB" w:rsidRPr="003A1FC8" w:rsidSect="00EC2D22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958"/>
    <w:multiLevelType w:val="hybridMultilevel"/>
    <w:tmpl w:val="FD1C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E7F9A"/>
    <w:multiLevelType w:val="hybridMultilevel"/>
    <w:tmpl w:val="38AC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F18EC"/>
    <w:multiLevelType w:val="hybridMultilevel"/>
    <w:tmpl w:val="7E305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00F3A"/>
    <w:multiLevelType w:val="hybridMultilevel"/>
    <w:tmpl w:val="AFD89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E4FCC"/>
    <w:multiLevelType w:val="hybridMultilevel"/>
    <w:tmpl w:val="31A8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E047F"/>
    <w:multiLevelType w:val="hybridMultilevel"/>
    <w:tmpl w:val="49B2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D5E67"/>
    <w:multiLevelType w:val="hybridMultilevel"/>
    <w:tmpl w:val="C24A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B6617"/>
    <w:multiLevelType w:val="hybridMultilevel"/>
    <w:tmpl w:val="B91CD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30F39"/>
    <w:multiLevelType w:val="hybridMultilevel"/>
    <w:tmpl w:val="3FCAA7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275BD"/>
    <w:multiLevelType w:val="hybridMultilevel"/>
    <w:tmpl w:val="381CF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90FFA"/>
    <w:multiLevelType w:val="hybridMultilevel"/>
    <w:tmpl w:val="31DC1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AB2C74"/>
    <w:multiLevelType w:val="hybridMultilevel"/>
    <w:tmpl w:val="34DE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F4936"/>
    <w:multiLevelType w:val="hybridMultilevel"/>
    <w:tmpl w:val="A1641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530CE"/>
    <w:multiLevelType w:val="hybridMultilevel"/>
    <w:tmpl w:val="01989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F1048"/>
    <w:multiLevelType w:val="hybridMultilevel"/>
    <w:tmpl w:val="C0B8F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3312E"/>
    <w:multiLevelType w:val="hybridMultilevel"/>
    <w:tmpl w:val="C7A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01520"/>
    <w:multiLevelType w:val="hybridMultilevel"/>
    <w:tmpl w:val="4CF0E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54984"/>
    <w:multiLevelType w:val="hybridMultilevel"/>
    <w:tmpl w:val="159EA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897353"/>
    <w:multiLevelType w:val="hybridMultilevel"/>
    <w:tmpl w:val="10B8B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11"/>
  </w:num>
  <w:num w:numId="8">
    <w:abstractNumId w:val="4"/>
  </w:num>
  <w:num w:numId="9">
    <w:abstractNumId w:val="2"/>
  </w:num>
  <w:num w:numId="10">
    <w:abstractNumId w:val="14"/>
  </w:num>
  <w:num w:numId="11">
    <w:abstractNumId w:val="15"/>
  </w:num>
  <w:num w:numId="12">
    <w:abstractNumId w:val="16"/>
  </w:num>
  <w:num w:numId="13">
    <w:abstractNumId w:val="12"/>
  </w:num>
  <w:num w:numId="14">
    <w:abstractNumId w:val="5"/>
  </w:num>
  <w:num w:numId="15">
    <w:abstractNumId w:val="18"/>
  </w:num>
  <w:num w:numId="16">
    <w:abstractNumId w:val="13"/>
  </w:num>
  <w:num w:numId="17">
    <w:abstractNumId w:val="1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57"/>
    <w:rsid w:val="00042E8C"/>
    <w:rsid w:val="000509F1"/>
    <w:rsid w:val="00064E0C"/>
    <w:rsid w:val="000739AC"/>
    <w:rsid w:val="00086D25"/>
    <w:rsid w:val="00090292"/>
    <w:rsid w:val="000D7C97"/>
    <w:rsid w:val="001121EB"/>
    <w:rsid w:val="00146945"/>
    <w:rsid w:val="001738D3"/>
    <w:rsid w:val="0020079C"/>
    <w:rsid w:val="002353B5"/>
    <w:rsid w:val="00244642"/>
    <w:rsid w:val="00311032"/>
    <w:rsid w:val="0039303D"/>
    <w:rsid w:val="003A1FC8"/>
    <w:rsid w:val="003B0931"/>
    <w:rsid w:val="003C3BF2"/>
    <w:rsid w:val="003D7B06"/>
    <w:rsid w:val="003E7082"/>
    <w:rsid w:val="003F78D4"/>
    <w:rsid w:val="00415ED2"/>
    <w:rsid w:val="00433733"/>
    <w:rsid w:val="004432F0"/>
    <w:rsid w:val="00446DF1"/>
    <w:rsid w:val="004710D3"/>
    <w:rsid w:val="00480A8A"/>
    <w:rsid w:val="00510CAF"/>
    <w:rsid w:val="0057241C"/>
    <w:rsid w:val="005E29DB"/>
    <w:rsid w:val="005E4BF4"/>
    <w:rsid w:val="0062025F"/>
    <w:rsid w:val="0066094C"/>
    <w:rsid w:val="006928A3"/>
    <w:rsid w:val="006C6653"/>
    <w:rsid w:val="00720510"/>
    <w:rsid w:val="00745545"/>
    <w:rsid w:val="00754410"/>
    <w:rsid w:val="007B3CD8"/>
    <w:rsid w:val="00807EEA"/>
    <w:rsid w:val="008437EE"/>
    <w:rsid w:val="00910D53"/>
    <w:rsid w:val="00924740"/>
    <w:rsid w:val="0093691C"/>
    <w:rsid w:val="00964C4C"/>
    <w:rsid w:val="009740B6"/>
    <w:rsid w:val="00984257"/>
    <w:rsid w:val="009C0D24"/>
    <w:rsid w:val="00A3251D"/>
    <w:rsid w:val="00A47222"/>
    <w:rsid w:val="00A6291D"/>
    <w:rsid w:val="00B032B5"/>
    <w:rsid w:val="00B071D8"/>
    <w:rsid w:val="00B107C5"/>
    <w:rsid w:val="00B11A1F"/>
    <w:rsid w:val="00B16BE8"/>
    <w:rsid w:val="00B41786"/>
    <w:rsid w:val="00B74265"/>
    <w:rsid w:val="00B74B1E"/>
    <w:rsid w:val="00B76257"/>
    <w:rsid w:val="00C017C3"/>
    <w:rsid w:val="00C66B9F"/>
    <w:rsid w:val="00D34814"/>
    <w:rsid w:val="00D812C6"/>
    <w:rsid w:val="00DD0424"/>
    <w:rsid w:val="00DE1B1D"/>
    <w:rsid w:val="00E06361"/>
    <w:rsid w:val="00E23673"/>
    <w:rsid w:val="00E37489"/>
    <w:rsid w:val="00E53797"/>
    <w:rsid w:val="00E64D47"/>
    <w:rsid w:val="00E779FD"/>
    <w:rsid w:val="00E9000C"/>
    <w:rsid w:val="00E96B5B"/>
    <w:rsid w:val="00EC0577"/>
    <w:rsid w:val="00EC2D22"/>
    <w:rsid w:val="00F1003B"/>
    <w:rsid w:val="00F8624A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64F3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257"/>
    <w:pPr>
      <w:ind w:left="720"/>
      <w:contextualSpacing/>
    </w:pPr>
  </w:style>
  <w:style w:type="table" w:styleId="TableGrid">
    <w:name w:val="Table Grid"/>
    <w:basedOn w:val="TableNormal"/>
    <w:uiPriority w:val="59"/>
    <w:rsid w:val="00754410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B3CD8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7B3C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B5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09029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257"/>
    <w:pPr>
      <w:ind w:left="720"/>
      <w:contextualSpacing/>
    </w:pPr>
  </w:style>
  <w:style w:type="table" w:styleId="TableGrid">
    <w:name w:val="Table Grid"/>
    <w:basedOn w:val="TableNormal"/>
    <w:uiPriority w:val="59"/>
    <w:rsid w:val="00754410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B3CD8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7B3C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B5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09029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849518810148717E-2"/>
          <c:y val="7.4548702245552642E-2"/>
          <c:w val="0.73234580052493436"/>
          <c:h val="0.58025444736074661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'SS200'!$A$35:$A$40</c:f>
              <c:strCache>
                <c:ptCount val="6"/>
                <c:pt idx="0">
                  <c:v>Thesis/Problem</c:v>
                </c:pt>
                <c:pt idx="1">
                  <c:v>Information Seeking</c:v>
                </c:pt>
                <c:pt idx="2">
                  <c:v>Analysis</c:v>
                </c:pt>
                <c:pt idx="3">
                  <c:v>Synthesis</c:v>
                </c:pt>
                <c:pt idx="4">
                  <c:v>Documentation</c:v>
                </c:pt>
                <c:pt idx="5">
                  <c:v>Product/Process</c:v>
                </c:pt>
              </c:strCache>
            </c:strRef>
          </c:cat>
          <c:val>
            <c:numRef>
              <c:f>'SS200'!$B$35:$B$40</c:f>
              <c:numCache>
                <c:formatCode>0%</c:formatCode>
                <c:ptCount val="6"/>
                <c:pt idx="0">
                  <c:v>0.88157894736842102</c:v>
                </c:pt>
                <c:pt idx="1">
                  <c:v>0.76315789473684215</c:v>
                </c:pt>
                <c:pt idx="2">
                  <c:v>0.57894736842105265</c:v>
                </c:pt>
                <c:pt idx="3">
                  <c:v>0.69736842105263153</c:v>
                </c:pt>
                <c:pt idx="4">
                  <c:v>0.64473684210526316</c:v>
                </c:pt>
                <c:pt idx="5">
                  <c:v>0.85526315789473684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6336256"/>
        <c:axId val="70499328"/>
        <c:axId val="0"/>
      </c:bar3DChart>
      <c:catAx>
        <c:axId val="66336256"/>
        <c:scaling>
          <c:orientation val="minMax"/>
        </c:scaling>
        <c:delete val="0"/>
        <c:axPos val="b"/>
        <c:majorTickMark val="out"/>
        <c:minorTickMark val="none"/>
        <c:tickLblPos val="nextTo"/>
        <c:crossAx val="70499328"/>
        <c:crosses val="autoZero"/>
        <c:auto val="1"/>
        <c:lblAlgn val="ctr"/>
        <c:lblOffset val="100"/>
        <c:noMultiLvlLbl val="0"/>
      </c:catAx>
      <c:valAx>
        <c:axId val="704993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633625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COM-FSM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R. Perkins</dc:creator>
  <cp:lastModifiedBy>Information Technology</cp:lastModifiedBy>
  <cp:revision>4</cp:revision>
  <cp:lastPrinted>2013-10-03T21:50:00Z</cp:lastPrinted>
  <dcterms:created xsi:type="dcterms:W3CDTF">2014-07-21T02:41:00Z</dcterms:created>
  <dcterms:modified xsi:type="dcterms:W3CDTF">2014-07-21T02:42:00Z</dcterms:modified>
</cp:coreProperties>
</file>