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5" w:tblpY="182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426"/>
        <w:gridCol w:w="143"/>
        <w:gridCol w:w="2359"/>
        <w:gridCol w:w="4696"/>
      </w:tblGrid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jc w:val="center"/>
              <w:rPr>
                <w:b/>
              </w:rPr>
            </w:pPr>
            <w:r w:rsidRPr="00A66922">
              <w:rPr>
                <w:b/>
              </w:rPr>
              <w:t>Committee Minutes Reporting Form</w:t>
            </w:r>
          </w:p>
        </w:tc>
      </w:tr>
      <w:tr w:rsidR="0028331C" w:rsidRPr="00A66922" w:rsidTr="007461C6">
        <w:tc>
          <w:tcPr>
            <w:tcW w:w="3652" w:type="dxa"/>
            <w:gridSpan w:val="3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Committee or Working Group</w:t>
            </w:r>
          </w:p>
        </w:tc>
        <w:tc>
          <w:tcPr>
            <w:tcW w:w="7055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>Curriculum Committee</w:t>
            </w:r>
          </w:p>
        </w:tc>
      </w:tr>
      <w:tr w:rsidR="0028331C" w:rsidRPr="00A66922" w:rsidTr="007461C6">
        <w:tc>
          <w:tcPr>
            <w:tcW w:w="3509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Date:     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Time:   </w:t>
            </w:r>
          </w:p>
        </w:tc>
        <w:tc>
          <w:tcPr>
            <w:tcW w:w="4696" w:type="dxa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Location:  </w:t>
            </w:r>
          </w:p>
        </w:tc>
      </w:tr>
      <w:tr w:rsidR="0028331C" w:rsidRPr="00A66922" w:rsidTr="007461C6">
        <w:tc>
          <w:tcPr>
            <w:tcW w:w="3509" w:type="dxa"/>
            <w:gridSpan w:val="2"/>
            <w:shd w:val="clear" w:color="auto" w:fill="auto"/>
          </w:tcPr>
          <w:p w:rsidR="0028331C" w:rsidRPr="00A66922" w:rsidRDefault="00667DD0" w:rsidP="00BE6CEC">
            <w:r>
              <w:t>April 22</w:t>
            </w:r>
            <w:r w:rsidR="002659D4">
              <w:t>, 2019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28331C" w:rsidRPr="00A66922" w:rsidRDefault="0028331C" w:rsidP="007461C6">
            <w:r w:rsidRPr="00A66922">
              <w:t xml:space="preserve">1:00PM  </w:t>
            </w:r>
          </w:p>
        </w:tc>
        <w:tc>
          <w:tcPr>
            <w:tcW w:w="4696" w:type="dxa"/>
            <w:shd w:val="clear" w:color="auto" w:fill="auto"/>
          </w:tcPr>
          <w:p w:rsidR="0028331C" w:rsidRPr="00A66922" w:rsidRDefault="0028331C" w:rsidP="007461C6">
            <w:r w:rsidRPr="00A66922">
              <w:t>Board Conference Room</w:t>
            </w:r>
          </w:p>
        </w:tc>
      </w:tr>
      <w:tr w:rsidR="0028331C" w:rsidRPr="00A66922" w:rsidTr="007461C6">
        <w:trPr>
          <w:trHeight w:val="6805"/>
        </w:trPr>
        <w:tc>
          <w:tcPr>
            <w:tcW w:w="10707" w:type="dxa"/>
            <w:gridSpan w:val="5"/>
            <w:shd w:val="clear" w:color="auto" w:fill="auto"/>
          </w:tcPr>
          <w:tbl>
            <w:tblPr>
              <w:tblW w:w="10581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4"/>
              <w:gridCol w:w="2448"/>
              <w:gridCol w:w="990"/>
              <w:gridCol w:w="1239"/>
            </w:tblGrid>
            <w:tr w:rsidR="0028331C" w:rsidRPr="00A66922" w:rsidTr="007461C6">
              <w:trPr>
                <w:trHeight w:val="180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 xml:space="preserve">Members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</w:tr>
            <w:tr w:rsidR="0028331C" w:rsidRPr="00A66922" w:rsidTr="007461C6">
              <w:trPr>
                <w:trHeight w:val="359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Titles/Reps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Name</w:t>
                  </w:r>
                </w:p>
              </w:tc>
              <w:tc>
                <w:tcPr>
                  <w:tcW w:w="990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Present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Absent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Chairperson/ ANRM &amp;AFT 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Mark </w:t>
                  </w:r>
                  <w:proofErr w:type="spellStart"/>
                  <w:r w:rsidRPr="00A66922">
                    <w:t>Kostka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i/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Vice-Chairperson Liberal Arts &amp; HCOP 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Kasiano</w:t>
                  </w:r>
                  <w:proofErr w:type="spellEnd"/>
                  <w:r w:rsidRPr="00A66922">
                    <w:t xml:space="preserve"> Paul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A66922">
                    <w:rPr>
                      <w:sz w:val="22"/>
                      <w:szCs w:val="22"/>
                    </w:rPr>
                    <w:t>Secretary/</w:t>
                  </w:r>
                  <w:proofErr w:type="spellStart"/>
                  <w:r w:rsidRPr="00A66922">
                    <w:t>Kosrae</w:t>
                  </w:r>
                  <w:proofErr w:type="spellEnd"/>
                  <w:r w:rsidRPr="00A66922">
                    <w:t xml:space="preserve"> Campus Program Representative </w:t>
                  </w:r>
                  <w:r w:rsidRPr="00A6692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Sharon Oviedo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Chuuk</w:t>
                  </w:r>
                  <w:proofErr w:type="spellEnd"/>
                  <w:r w:rsidRPr="00A66922">
                    <w:t xml:space="preserve"> Campus Program Representatives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Lynn </w:t>
                  </w:r>
                  <w:proofErr w:type="spellStart"/>
                  <w:r w:rsidRPr="00A66922">
                    <w:t>Sipenuk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96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Alton Higashi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AAS Technology &amp; Trades 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Gardner Edgar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COA  Technology &amp; Trades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Danilo</w:t>
                  </w:r>
                  <w:proofErr w:type="spellEnd"/>
                  <w:r w:rsidRPr="00A66922">
                    <w:t xml:space="preserve"> </w:t>
                  </w:r>
                  <w:proofErr w:type="spellStart"/>
                  <w:r w:rsidRPr="00A66922">
                    <w:t>Ibarrola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3E44C7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HTM, Secretarial Science, Bookkeeping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Debra  </w:t>
                  </w:r>
                  <w:proofErr w:type="spellStart"/>
                  <w:r w:rsidRPr="00A66922">
                    <w:t>Perman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3E44C7" w:rsidP="0028331C">
                  <w:pPr>
                    <w:framePr w:hSpace="180" w:wrap="around" w:vAnchor="text" w:hAnchor="page" w:x="825" w:y="182"/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Deeleeann</w:t>
                  </w:r>
                  <w:proofErr w:type="spellEnd"/>
                  <w:r w:rsidRPr="00A66922">
                    <w:t xml:space="preserve"> Daniel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3E44C7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306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Yap Campus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Joy </w:t>
                  </w:r>
                  <w:proofErr w:type="spellStart"/>
                  <w:r w:rsidRPr="00A66922">
                    <w:t>Guarin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FMI Campus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Mathias </w:t>
                  </w:r>
                  <w:proofErr w:type="spellStart"/>
                  <w:r w:rsidRPr="00A66922">
                    <w:t>Ewarmai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  <w:r>
                    <w:rPr>
                      <w:caps/>
                    </w:rPr>
                    <w:t>*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Education Program Representative 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Susan Moses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Education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Public Health/ Nursing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Robert </w:t>
                  </w:r>
                  <w:proofErr w:type="spellStart"/>
                  <w:r w:rsidRPr="00A66922">
                    <w:t>Spegal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3E44C7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23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General Education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Marlene </w:t>
                  </w:r>
                  <w:proofErr w:type="spellStart"/>
                  <w:r w:rsidRPr="00A66922">
                    <w:t>Mangonon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4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Micronesian Studies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Marvey</w:t>
                  </w:r>
                  <w:proofErr w:type="spellEnd"/>
                  <w:r w:rsidRPr="00A66922">
                    <w:t xml:space="preserve"> Elias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Business Administration/ Computer Information Systems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Cindy Marie Edwin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4603CB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Marine Science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BE6CE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LRC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Jennifer </w:t>
                  </w:r>
                  <w:proofErr w:type="spellStart"/>
                  <w:r w:rsidRPr="00A66922">
                    <w:t>Helieisar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3E44C7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Ex-Officio  (DAP)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Maria </w:t>
                  </w:r>
                  <w:proofErr w:type="spellStart"/>
                  <w:r w:rsidRPr="00A66922">
                    <w:t>Dison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331C" w:rsidRPr="00A66922" w:rsidRDefault="00D945AE" w:rsidP="007461C6">
                  <w:pPr>
                    <w:framePr w:hSpace="180" w:wrap="around" w:vAnchor="text" w:hAnchor="page" w:x="825" w:y="182"/>
                    <w:jc w:val="center"/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1058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8331C" w:rsidRPr="00A66922" w:rsidRDefault="0028331C" w:rsidP="0028331C">
                  <w:pPr>
                    <w:pStyle w:val="ListParagraph"/>
                    <w:framePr w:hSpace="180" w:wrap="around" w:vAnchor="text" w:hAnchor="page" w:x="825" w:y="182"/>
                    <w:ind w:left="1080"/>
                  </w:pPr>
                  <w:r w:rsidRPr="00A66922">
                    <w:t>*</w:t>
                  </w:r>
                  <w:r>
                    <w:t>retired</w:t>
                  </w:r>
                  <w:r w:rsidRPr="00A66922">
                    <w:t xml:space="preserve">      </w:t>
                  </w:r>
                </w:p>
              </w:tc>
            </w:tr>
          </w:tbl>
          <w:p w:rsidR="0028331C" w:rsidRPr="00A66922" w:rsidRDefault="0028331C" w:rsidP="007461C6">
            <w:pPr>
              <w:pStyle w:val="ListParagraph"/>
              <w:tabs>
                <w:tab w:val="left" w:pos="1160"/>
              </w:tabs>
              <w:rPr>
                <w:i/>
              </w:rPr>
            </w:pPr>
          </w:p>
        </w:tc>
      </w:tr>
      <w:tr w:rsidR="0028331C" w:rsidRPr="00A66922" w:rsidTr="007461C6">
        <w:tc>
          <w:tcPr>
            <w:tcW w:w="3083" w:type="dxa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Additional Attendees: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28331C" w:rsidRPr="00A66922" w:rsidRDefault="0028331C" w:rsidP="007461C6">
            <w:pPr>
              <w:tabs>
                <w:tab w:val="left" w:pos="1120"/>
              </w:tabs>
            </w:pPr>
          </w:p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tabs>
                <w:tab w:val="left" w:pos="5245"/>
              </w:tabs>
              <w:rPr>
                <w:b/>
              </w:rPr>
            </w:pPr>
            <w:r w:rsidRPr="00A66922">
              <w:t>A</w:t>
            </w:r>
            <w:r w:rsidRPr="00A66922">
              <w:rPr>
                <w:b/>
              </w:rPr>
              <w:t>genda/Major Topics of Discussion:</w:t>
            </w:r>
          </w:p>
        </w:tc>
      </w:tr>
      <w:tr w:rsidR="0028331C" w:rsidRPr="00A66922" w:rsidTr="007461C6">
        <w:trPr>
          <w:trHeight w:val="620"/>
        </w:trPr>
        <w:tc>
          <w:tcPr>
            <w:tcW w:w="10707" w:type="dxa"/>
            <w:gridSpan w:val="5"/>
            <w:shd w:val="clear" w:color="auto" w:fill="auto"/>
          </w:tcPr>
          <w:p w:rsidR="00D945AE" w:rsidRDefault="00D945AE" w:rsidP="00D945AE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AGENDA: </w:t>
            </w:r>
          </w:p>
          <w:p w:rsidR="004603CB" w:rsidRDefault="004603CB" w:rsidP="004603CB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Welcoming by Chairperson/Overview of Agenda </w:t>
            </w:r>
          </w:p>
          <w:p w:rsidR="004603CB" w:rsidRPr="008E45DB" w:rsidRDefault="004603CB" w:rsidP="004603CB">
            <w:pPr>
              <w:spacing w:line="276" w:lineRule="auto"/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Pr="008E45DB">
              <w:rPr>
                <w:rFonts w:ascii="Garamond" w:hAnsi="Garamond"/>
              </w:rPr>
              <w:t>Suggestion for Last Meeting Agenda items</w:t>
            </w:r>
          </w:p>
          <w:p w:rsidR="004603CB" w:rsidRDefault="004603CB" w:rsidP="004603CB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Approval of Minutes</w:t>
            </w:r>
          </w:p>
          <w:p w:rsidR="004603CB" w:rsidRPr="00070365" w:rsidRDefault="004603CB" w:rsidP="004603CB">
            <w:pPr>
              <w:spacing w:line="276" w:lineRule="auto"/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April 08 Minutes</w:t>
            </w:r>
          </w:p>
          <w:p w:rsidR="004603CB" w:rsidRDefault="004603CB" w:rsidP="004603C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Urgent matters</w:t>
            </w:r>
          </w:p>
          <w:p w:rsidR="004603CB" w:rsidRDefault="004603CB" w:rsidP="004603CB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t>Course Outline for Endorsement</w:t>
            </w:r>
          </w:p>
          <w:p w:rsidR="004603CB" w:rsidRDefault="004603CB" w:rsidP="004603CB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>IS260 –Business Information Sys.</w:t>
            </w:r>
          </w:p>
          <w:p w:rsidR="004603CB" w:rsidRDefault="004603CB" w:rsidP="004603CB">
            <w:pPr>
              <w:rPr>
                <w:rFonts w:ascii="Book Antiqua" w:hAnsi="Book Antiqua"/>
                <w:b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color w:val="000000"/>
                <w:sz w:val="21"/>
                <w:szCs w:val="21"/>
              </w:rPr>
              <w:t>Follow up on the following course outlines.</w:t>
            </w:r>
          </w:p>
          <w:p w:rsidR="004603CB" w:rsidRDefault="004603CB" w:rsidP="004603CB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4603CB" w:rsidRDefault="004603CB" w:rsidP="004603CB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IS 280 Intro to Networking – Team Lynn and Cindy Marie (need updates from readers)</w:t>
            </w:r>
          </w:p>
          <w:p w:rsidR="004603CB" w:rsidRDefault="004603CB" w:rsidP="004603CB">
            <w:pPr>
              <w:ind w:left="720"/>
              <w:rPr>
                <w:rFonts w:ascii="Book Antiqua" w:hAnsi="Book Antiqua"/>
                <w:i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SS 111 Cultural Anthropology – </w:t>
            </w:r>
            <w:r>
              <w:rPr>
                <w:rFonts w:ascii="Book Antiqua" w:hAnsi="Book Antiqua"/>
                <w:i/>
                <w:color w:val="000000"/>
                <w:sz w:val="21"/>
                <w:szCs w:val="21"/>
              </w:rPr>
              <w:t>Reader Alton Submitted Rubric</w:t>
            </w:r>
          </w:p>
          <w:p w:rsidR="004603CB" w:rsidRDefault="004603CB" w:rsidP="004603CB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 xml:space="preserve">   Returned to Initiator Karen –SS division</w:t>
            </w:r>
          </w:p>
          <w:p w:rsidR="004603CB" w:rsidRDefault="004603CB" w:rsidP="004603CB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 xml:space="preserve">    </w:t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 xml:space="preserve">   Awaiting IC’s action</w:t>
            </w:r>
          </w:p>
          <w:p w:rsidR="004603CB" w:rsidRDefault="004603CB" w:rsidP="004603CB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VEE 223 PC Repair- Team </w:t>
            </w:r>
            <w:proofErr w:type="spellStart"/>
            <w:r>
              <w:rPr>
                <w:rFonts w:ascii="Book Antiqua" w:hAnsi="Book Antiqua"/>
                <w:color w:val="000000"/>
                <w:sz w:val="21"/>
                <w:szCs w:val="21"/>
              </w:rPr>
              <w:t>Danilo</w:t>
            </w:r>
            <w:proofErr w:type="spellEnd"/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1"/>
                <w:szCs w:val="21"/>
              </w:rPr>
              <w:t>Ibarolla</w:t>
            </w:r>
            <w:proofErr w:type="spellEnd"/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Book Antiqua" w:hAnsi="Book Antiqua"/>
                <w:color w:val="000000"/>
                <w:sz w:val="21"/>
                <w:szCs w:val="21"/>
              </w:rPr>
              <w:t>Kasi</w:t>
            </w:r>
            <w:proofErr w:type="spellEnd"/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 </w:t>
            </w:r>
          </w:p>
          <w:p w:rsidR="004603CB" w:rsidRDefault="004603CB" w:rsidP="004603CB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 xml:space="preserve">   Returned to Initiator Gardner </w:t>
            </w:r>
          </w:p>
          <w:p w:rsidR="004603CB" w:rsidRDefault="004603CB" w:rsidP="004603CB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lastRenderedPageBreak/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 xml:space="preserve"> </w:t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 xml:space="preserve">    Still under scrutiny by reader and fellow CA100 Instructors</w:t>
            </w:r>
          </w:p>
          <w:p w:rsidR="004603CB" w:rsidRDefault="004603CB" w:rsidP="004603CB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VSP 121 Industrial Safety – Currently with Team Mark and Debra</w:t>
            </w:r>
          </w:p>
          <w:p w:rsidR="004603CB" w:rsidRPr="004603CB" w:rsidRDefault="004603CB" w:rsidP="004603CB">
            <w:pPr>
              <w:ind w:left="360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Status Gardner was taken out as reader since he teaches the course and was replaced by Chair Mark.  </w:t>
            </w:r>
          </w:p>
          <w:p w:rsidR="004603CB" w:rsidRDefault="004603CB" w:rsidP="004603CB">
            <w:pPr>
              <w:ind w:left="720"/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 xml:space="preserve">SS100 World of Work - by Mason </w:t>
            </w:r>
            <w:proofErr w:type="spellStart"/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>Tihpen</w:t>
            </w:r>
            <w:proofErr w:type="spellEnd"/>
          </w:p>
          <w:p w:rsidR="004603CB" w:rsidRPr="008E45DB" w:rsidRDefault="004603CB" w:rsidP="004603CB">
            <w:pPr>
              <w:ind w:left="720"/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Feedback was already given by readers Maria and Jennifer</w:t>
            </w:r>
          </w:p>
          <w:p w:rsidR="004603CB" w:rsidRDefault="004603CB" w:rsidP="004603CB">
            <w:pP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Updates from Reader Teams and Initiator:</w:t>
            </w:r>
          </w:p>
          <w:p w:rsidR="004603CB" w:rsidRDefault="004603CB" w:rsidP="004603CB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 w:rsidRPr="00270641"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 xml:space="preserve">IS230 </w:t>
            </w: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>–</w:t>
            </w:r>
            <w:r w:rsidRPr="00270641">
              <w:rPr>
                <w:rFonts w:ascii="Book Antiqua" w:hAnsi="Book Antiqua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>Database Design</w:t>
            </w:r>
          </w:p>
          <w:p w:rsidR="004603CB" w:rsidRDefault="004603CB" w:rsidP="004603CB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IS245- Digital Image…</w:t>
            </w:r>
          </w:p>
          <w:p w:rsidR="004603CB" w:rsidRDefault="004603CB" w:rsidP="004603CB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BU110 - Business Mathematics</w:t>
            </w:r>
          </w:p>
          <w:p w:rsidR="004603CB" w:rsidRDefault="004603CB" w:rsidP="004603CB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BU270 – Principles of Marketing</w:t>
            </w:r>
          </w:p>
          <w:p w:rsidR="004603CB" w:rsidRDefault="004603CB" w:rsidP="004603CB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MS150 – Statistics</w:t>
            </w:r>
          </w:p>
          <w:p w:rsidR="004603CB" w:rsidRDefault="004603CB" w:rsidP="004603CB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SC250 – General Botany</w:t>
            </w:r>
          </w:p>
          <w:p w:rsidR="004603CB" w:rsidRDefault="004603CB" w:rsidP="004603CB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SC130 – Physical Science</w:t>
            </w:r>
          </w:p>
          <w:p w:rsidR="004603CB" w:rsidRDefault="004603CB" w:rsidP="004603CB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 xml:space="preserve">SS/SC 115 – </w:t>
            </w:r>
            <w:proofErr w:type="spellStart"/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>Ethnobotany</w:t>
            </w:r>
            <w:proofErr w:type="spellEnd"/>
          </w:p>
          <w:p w:rsidR="004603CB" w:rsidRDefault="004603CB" w:rsidP="004603CB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SS120 – Geography</w:t>
            </w:r>
          </w:p>
          <w:p w:rsidR="004603CB" w:rsidRDefault="004603CB" w:rsidP="004603CB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SS130 – Intro to Sociology</w:t>
            </w:r>
          </w:p>
          <w:p w:rsidR="004603CB" w:rsidRDefault="004603CB" w:rsidP="004603CB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SS125 – Geography of the Pacific</w:t>
            </w:r>
          </w:p>
          <w:p w:rsidR="004603CB" w:rsidRPr="006B5AD1" w:rsidRDefault="004603CB" w:rsidP="004603CB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AG110 – Crop Production</w:t>
            </w: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</w:r>
          </w:p>
          <w:p w:rsidR="004603CB" w:rsidRPr="006B5AD1" w:rsidRDefault="004603CB" w:rsidP="004603C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Upcoming Agenda Items</w:t>
            </w:r>
          </w:p>
          <w:p w:rsidR="004603CB" w:rsidRPr="006B5AD1" w:rsidRDefault="004603CB" w:rsidP="004603CB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Miscellaneous</w:t>
            </w:r>
          </w:p>
          <w:p w:rsidR="0028331C" w:rsidRPr="004603CB" w:rsidRDefault="004603CB" w:rsidP="004603CB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Adjournment</w:t>
            </w:r>
          </w:p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pStyle w:val="LightGrid-Accent31"/>
              <w:spacing w:line="240" w:lineRule="auto"/>
              <w:ind w:left="0"/>
              <w:jc w:val="left"/>
              <w:rPr>
                <w:rFonts w:asciiTheme="minorHAnsi" w:hAnsiTheme="minorHAnsi"/>
                <w:b/>
              </w:rPr>
            </w:pPr>
            <w:r w:rsidRPr="00A66922">
              <w:rPr>
                <w:rFonts w:asciiTheme="minorHAnsi" w:hAnsiTheme="minorHAnsi"/>
                <w:b/>
              </w:rPr>
              <w:lastRenderedPageBreak/>
              <w:t>Discussion of Agenda/Information Sharing:</w:t>
            </w:r>
          </w:p>
          <w:p w:rsidR="0028331C" w:rsidRPr="00A66922" w:rsidRDefault="0028331C" w:rsidP="00833AA2">
            <w:pPr>
              <w:pStyle w:val="LightGrid-Accent31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66922">
              <w:rPr>
                <w:rFonts w:asciiTheme="minorHAnsi" w:hAnsiTheme="minorHAnsi"/>
                <w:b/>
              </w:rPr>
              <w:t xml:space="preserve">Welcoming Remarks/Overview of Agenda </w:t>
            </w:r>
          </w:p>
          <w:p w:rsidR="0028331C" w:rsidRDefault="00D945AE" w:rsidP="00D945AE">
            <w:pPr>
              <w:pStyle w:val="ListParagraph"/>
              <w:ind w:left="782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i. </w:t>
            </w:r>
            <w:r w:rsidR="0028331C" w:rsidRPr="00A6692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Chairman called the meeting to order at 1:00PM and facilitated a brief review of the agenda</w:t>
            </w:r>
            <w:r w:rsidR="0028331C" w:rsidRPr="00D945AE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.</w:t>
            </w:r>
          </w:p>
          <w:p w:rsidR="004603CB" w:rsidRDefault="004603CB" w:rsidP="00D945AE">
            <w:pPr>
              <w:pStyle w:val="ListParagraph"/>
              <w:ind w:left="782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ii. Chairman mentioned that May 6 would be the last CC meeting </w:t>
            </w:r>
            <w:r w:rsidR="00B906B9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so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election of new officers </w:t>
            </w:r>
            <w:r w:rsidR="00B906B9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would be a part of the agenda. </w:t>
            </w:r>
          </w:p>
          <w:p w:rsidR="00B906B9" w:rsidRDefault="00B906B9" w:rsidP="00D945AE">
            <w:pPr>
              <w:pStyle w:val="ListParagraph"/>
              <w:ind w:left="782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iii. Education program representative suggested having self-reflection and evaluation.</w:t>
            </w:r>
          </w:p>
          <w:p w:rsidR="00B906B9" w:rsidRDefault="00B906B9" w:rsidP="00D945AE">
            <w:pPr>
              <w:pStyle w:val="ListParagraph"/>
              <w:ind w:left="782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iv. DAP asked the Chairman to send the self-reflection form to CC members before May 6, 2019.</w:t>
            </w:r>
          </w:p>
          <w:p w:rsidR="0028331C" w:rsidRPr="00A66922" w:rsidRDefault="0028331C" w:rsidP="007461C6">
            <w:pPr>
              <w:pStyle w:val="ListParagraph"/>
              <w:ind w:left="782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331C" w:rsidRPr="00A66922" w:rsidRDefault="0028331C" w:rsidP="00833AA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Approval of Minutes of the Meeting on </w:t>
            </w:r>
            <w:r w:rsidR="007C188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April 8</w:t>
            </w: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, 2019 </w:t>
            </w:r>
          </w:p>
          <w:p w:rsidR="009E0F1A" w:rsidRPr="000A3D81" w:rsidRDefault="00120E8E" w:rsidP="007C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i. </w:t>
            </w:r>
            <w:r w:rsidR="007C188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Minutes of April 8, 2019 </w:t>
            </w:r>
            <w:r w:rsidR="003D5440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to</w:t>
            </w:r>
            <w:r w:rsidR="001E56DF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be sent</w:t>
            </w:r>
            <w:r w:rsidR="007C188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after the meeting. </w:t>
            </w:r>
          </w:p>
          <w:p w:rsidR="0028331C" w:rsidRPr="00A66922" w:rsidRDefault="0028331C" w:rsidP="00283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</w:rPr>
            </w:pPr>
          </w:p>
          <w:p w:rsidR="0028331C" w:rsidRDefault="0028331C" w:rsidP="00833AA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Urgent Matters</w:t>
            </w:r>
          </w:p>
          <w:p w:rsidR="00B002F9" w:rsidRDefault="00B002F9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</w:t>
            </w:r>
            <w:r w:rsidR="007C1882">
              <w:rPr>
                <w:rFonts w:asciiTheme="minorHAnsi" w:eastAsia="Garamond" w:hAnsiTheme="minorHAnsi"/>
                <w:b/>
                <w:sz w:val="22"/>
                <w:szCs w:val="22"/>
              </w:rPr>
              <w:t>a</w:t>
            </w:r>
            <w:r w:rsidRPr="00B002F9">
              <w:rPr>
                <w:rFonts w:asciiTheme="minorHAnsi" w:eastAsia="Garamond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002F9">
              <w:rPr>
                <w:rFonts w:asciiTheme="minorHAnsi" w:eastAsia="Garamond" w:hAnsiTheme="minorHAnsi"/>
                <w:b/>
                <w:sz w:val="22"/>
                <w:szCs w:val="22"/>
              </w:rPr>
              <w:t>Course Outlines for Endorsement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</w:p>
          <w:p w:rsidR="00B002F9" w:rsidRPr="00B002F9" w:rsidRDefault="00B002F9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68139B" w:rsidRPr="00120E8E" w:rsidRDefault="0068139B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sz w:val="22"/>
                <w:szCs w:val="22"/>
              </w:rPr>
            </w:pPr>
            <w:r w:rsidRPr="004A1F68">
              <w:rPr>
                <w:rFonts w:asciiTheme="minorHAnsi" w:eastAsia="Garamond" w:hAnsiTheme="minorHAnsi"/>
                <w:color w:val="FF0000"/>
                <w:sz w:val="22"/>
                <w:szCs w:val="22"/>
              </w:rPr>
              <w:t xml:space="preserve">      </w:t>
            </w:r>
            <w:r w:rsidR="007C1882">
              <w:rPr>
                <w:rFonts w:asciiTheme="minorHAnsi" w:eastAsia="Garamond" w:hAnsiTheme="minorHAnsi"/>
                <w:b/>
                <w:sz w:val="22"/>
                <w:szCs w:val="22"/>
              </w:rPr>
              <w:t>IS 260 Business Information System</w:t>
            </w:r>
            <w:r w:rsidR="001E56DF">
              <w:rPr>
                <w:rFonts w:asciiTheme="minorHAnsi" w:eastAsia="Garamond" w:hAnsiTheme="minorHAnsi"/>
                <w:b/>
                <w:sz w:val="22"/>
                <w:szCs w:val="22"/>
              </w:rPr>
              <w:t>s</w:t>
            </w:r>
          </w:p>
          <w:p w:rsidR="003D5440" w:rsidRDefault="00B002F9" w:rsidP="0075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 w:rsidRPr="00713E08">
              <w:rPr>
                <w:rFonts w:asciiTheme="minorHAnsi" w:eastAsia="Garamond" w:hAnsiTheme="minorHAnsi"/>
                <w:sz w:val="22"/>
                <w:szCs w:val="22"/>
              </w:rPr>
              <w:t xml:space="preserve">             </w:t>
            </w:r>
            <w:r w:rsidR="008A5D69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="00D95CDD">
              <w:rPr>
                <w:rFonts w:asciiTheme="minorHAnsi" w:eastAsia="Garamond" w:hAnsiTheme="minorHAnsi"/>
                <w:sz w:val="22"/>
                <w:szCs w:val="22"/>
              </w:rPr>
              <w:t xml:space="preserve">i. </w:t>
            </w:r>
            <w:r w:rsidR="003D5440">
              <w:rPr>
                <w:rFonts w:asciiTheme="minorHAnsi" w:eastAsia="Garamond" w:hAnsiTheme="minorHAnsi"/>
                <w:sz w:val="22"/>
                <w:szCs w:val="22"/>
              </w:rPr>
              <w:t xml:space="preserve">Education program representative </w:t>
            </w:r>
            <w:r w:rsidR="0075351F">
              <w:rPr>
                <w:rFonts w:asciiTheme="minorHAnsi" w:eastAsia="Garamond" w:hAnsiTheme="minorHAnsi"/>
                <w:sz w:val="22"/>
                <w:szCs w:val="22"/>
              </w:rPr>
              <w:t>commented on the</w:t>
            </w:r>
            <w:r w:rsidR="001E56DF">
              <w:rPr>
                <w:rFonts w:asciiTheme="minorHAnsi" w:eastAsia="Garamond" w:hAnsiTheme="minorHAnsi"/>
                <w:sz w:val="22"/>
                <w:szCs w:val="22"/>
              </w:rPr>
              <w:t xml:space="preserve"> construction of the wording</w:t>
            </w:r>
            <w:r w:rsidR="003D5440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="0075351F">
              <w:rPr>
                <w:rFonts w:asciiTheme="minorHAnsi" w:eastAsia="Garamond" w:hAnsiTheme="minorHAnsi"/>
                <w:sz w:val="22"/>
                <w:szCs w:val="22"/>
              </w:rPr>
              <w:t xml:space="preserve">for SLO 3.2 </w:t>
            </w:r>
            <w:r w:rsidR="003D5440">
              <w:rPr>
                <w:rFonts w:asciiTheme="minorHAnsi" w:eastAsia="Garamond" w:hAnsiTheme="minorHAnsi"/>
                <w:sz w:val="22"/>
                <w:szCs w:val="22"/>
              </w:rPr>
              <w:t xml:space="preserve">assessment </w:t>
            </w:r>
            <w:r w:rsidR="0075351F">
              <w:rPr>
                <w:rFonts w:asciiTheme="minorHAnsi" w:eastAsia="Garamond" w:hAnsiTheme="minorHAnsi"/>
                <w:sz w:val="22"/>
                <w:szCs w:val="22"/>
              </w:rPr>
              <w:t xml:space="preserve">  </w:t>
            </w:r>
            <w:r w:rsidR="003D5440">
              <w:rPr>
                <w:rFonts w:asciiTheme="minorHAnsi" w:eastAsia="Garamond" w:hAnsiTheme="minorHAnsi"/>
                <w:sz w:val="22"/>
                <w:szCs w:val="22"/>
              </w:rPr>
              <w:t xml:space="preserve">strategy and </w:t>
            </w:r>
            <w:r w:rsidR="0075351F">
              <w:rPr>
                <w:rFonts w:asciiTheme="minorHAnsi" w:eastAsia="Garamond" w:hAnsiTheme="minorHAnsi"/>
                <w:sz w:val="22"/>
                <w:szCs w:val="22"/>
              </w:rPr>
              <w:t xml:space="preserve">SLO </w:t>
            </w:r>
            <w:r w:rsidR="003D5440">
              <w:rPr>
                <w:rFonts w:asciiTheme="minorHAnsi" w:eastAsia="Garamond" w:hAnsiTheme="minorHAnsi"/>
                <w:sz w:val="22"/>
                <w:szCs w:val="22"/>
              </w:rPr>
              <w:t xml:space="preserve">2.1 </w:t>
            </w:r>
            <w:r w:rsidR="0075351F">
              <w:rPr>
                <w:rFonts w:asciiTheme="minorHAnsi" w:eastAsia="Garamond" w:hAnsiTheme="minorHAnsi"/>
                <w:sz w:val="22"/>
                <w:szCs w:val="22"/>
              </w:rPr>
              <w:t xml:space="preserve">regarding “group of 4” also under assessment strategy.  She also wants a clarification with SLO 5.1 if it </w:t>
            </w:r>
            <w:r w:rsidR="001E56DF">
              <w:rPr>
                <w:rFonts w:asciiTheme="minorHAnsi" w:eastAsia="Garamond" w:hAnsiTheme="minorHAnsi"/>
                <w:sz w:val="22"/>
                <w:szCs w:val="22"/>
              </w:rPr>
              <w:t xml:space="preserve">is </w:t>
            </w:r>
            <w:r w:rsidR="0075351F">
              <w:rPr>
                <w:rFonts w:asciiTheme="minorHAnsi" w:eastAsia="Garamond" w:hAnsiTheme="minorHAnsi"/>
                <w:sz w:val="22"/>
                <w:szCs w:val="22"/>
              </w:rPr>
              <w:t>a term used in the course.</w:t>
            </w:r>
          </w:p>
          <w:p w:rsidR="0075351F" w:rsidRDefault="0075351F" w:rsidP="0075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</w:t>
            </w:r>
          </w:p>
          <w:p w:rsidR="0065759D" w:rsidRDefault="0075351F" w:rsidP="0075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</w:t>
            </w:r>
            <w:r w:rsidR="00D95CDD">
              <w:rPr>
                <w:rFonts w:asciiTheme="minorHAnsi" w:eastAsia="Garamond" w:hAnsiTheme="minorHAnsi"/>
                <w:sz w:val="22"/>
                <w:szCs w:val="22"/>
              </w:rPr>
              <w:t xml:space="preserve"> ii. </w:t>
            </w:r>
            <w:proofErr w:type="spellStart"/>
            <w:r>
              <w:rPr>
                <w:rFonts w:asciiTheme="minorHAnsi" w:eastAsia="Garamond" w:hAnsiTheme="minorHAnsi"/>
                <w:sz w:val="22"/>
                <w:szCs w:val="22"/>
              </w:rPr>
              <w:t>Chuuk</w:t>
            </w:r>
            <w:proofErr w:type="spellEnd"/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representative</w:t>
            </w:r>
            <w:r w:rsidR="0065759D">
              <w:rPr>
                <w:rFonts w:asciiTheme="minorHAnsi" w:eastAsia="Garamond" w:hAnsiTheme="minorHAnsi"/>
                <w:sz w:val="22"/>
                <w:szCs w:val="22"/>
              </w:rPr>
              <w:t>s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="0065759D">
              <w:rPr>
                <w:rFonts w:asciiTheme="minorHAnsi" w:eastAsia="Garamond" w:hAnsiTheme="minorHAnsi"/>
                <w:sz w:val="22"/>
                <w:szCs w:val="22"/>
              </w:rPr>
              <w:t>agree with educa</w:t>
            </w:r>
            <w:r w:rsidR="001E56DF">
              <w:rPr>
                <w:rFonts w:asciiTheme="minorHAnsi" w:eastAsia="Garamond" w:hAnsiTheme="minorHAnsi"/>
                <w:sz w:val="22"/>
                <w:szCs w:val="22"/>
              </w:rPr>
              <w:t>tion program representative as to</w:t>
            </w:r>
            <w:r w:rsidR="0065759D">
              <w:rPr>
                <w:rFonts w:asciiTheme="minorHAnsi" w:eastAsia="Garamond" w:hAnsiTheme="minorHAnsi"/>
                <w:sz w:val="22"/>
                <w:szCs w:val="22"/>
              </w:rPr>
              <w:t xml:space="preserve"> her comments on assessment </w:t>
            </w:r>
          </w:p>
          <w:p w:rsidR="00667DD0" w:rsidRDefault="0065759D" w:rsidP="0075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   </w:t>
            </w:r>
            <w:r w:rsidR="001E56DF">
              <w:rPr>
                <w:rFonts w:asciiTheme="minorHAnsi" w:eastAsia="Garamond" w:hAnsiTheme="minorHAnsi"/>
                <w:sz w:val="22"/>
                <w:szCs w:val="22"/>
              </w:rPr>
              <w:t>strategies;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t</w:t>
            </w:r>
            <w:r w:rsidR="001E56DF">
              <w:rPr>
                <w:rFonts w:asciiTheme="minorHAnsi" w:eastAsia="Garamond" w:hAnsiTheme="minorHAnsi"/>
                <w:sz w:val="22"/>
                <w:szCs w:val="22"/>
              </w:rPr>
              <w:t>hey mentioned that it should be readable. S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ome of the SLO’s are not aligned with ISLO #1 </w:t>
            </w:r>
          </w:p>
          <w:p w:rsidR="00667DD0" w:rsidRDefault="00667DD0" w:rsidP="0075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    </w:t>
            </w:r>
            <w:proofErr w:type="gramStart"/>
            <w:r w:rsidR="0065759D">
              <w:rPr>
                <w:rFonts w:asciiTheme="minorHAnsi" w:eastAsia="Garamond" w:hAnsiTheme="minorHAnsi"/>
                <w:sz w:val="22"/>
                <w:szCs w:val="22"/>
              </w:rPr>
              <w:t>and</w:t>
            </w:r>
            <w:proofErr w:type="gramEnd"/>
            <w:r w:rsidR="0065759D">
              <w:rPr>
                <w:rFonts w:asciiTheme="minorHAnsi" w:eastAsia="Garamond" w:hAnsiTheme="minorHAnsi"/>
                <w:sz w:val="22"/>
                <w:szCs w:val="22"/>
              </w:rPr>
              <w:t xml:space="preserve"> 2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>.</w:t>
            </w:r>
            <w:r w:rsidR="0065759D">
              <w:rPr>
                <w:rFonts w:asciiTheme="minorHAnsi" w:eastAsia="Garamond" w:hAnsiTheme="minorHAnsi"/>
                <w:sz w:val="22"/>
                <w:szCs w:val="22"/>
              </w:rPr>
              <w:t>The number of lea</w:t>
            </w:r>
            <w:r w:rsidR="001E56DF">
              <w:rPr>
                <w:rFonts w:asciiTheme="minorHAnsi" w:eastAsia="Garamond" w:hAnsiTheme="minorHAnsi"/>
                <w:sz w:val="22"/>
                <w:szCs w:val="22"/>
              </w:rPr>
              <w:t>rning outcomes are inconsistent. I</w:t>
            </w:r>
            <w:r w:rsidR="0065759D">
              <w:rPr>
                <w:rFonts w:asciiTheme="minorHAnsi" w:eastAsia="Garamond" w:hAnsiTheme="minorHAnsi"/>
                <w:sz w:val="22"/>
                <w:szCs w:val="22"/>
              </w:rPr>
              <w:t>n  the course modification request there are 6</w:t>
            </w:r>
          </w:p>
          <w:p w:rsidR="00D95CDD" w:rsidRDefault="00667DD0" w:rsidP="0075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 </w:t>
            </w:r>
            <w:r w:rsidR="0065759D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proofErr w:type="gramStart"/>
            <w:r w:rsidR="0065759D">
              <w:rPr>
                <w:rFonts w:asciiTheme="minorHAnsi" w:eastAsia="Garamond" w:hAnsiTheme="minorHAnsi"/>
                <w:sz w:val="22"/>
                <w:szCs w:val="22"/>
              </w:rPr>
              <w:t>learning</w:t>
            </w:r>
            <w:proofErr w:type="gramEnd"/>
            <w:r w:rsidR="0065759D">
              <w:rPr>
                <w:rFonts w:asciiTheme="minorHAnsi" w:eastAsia="Garamond" w:hAnsiTheme="minorHAnsi"/>
                <w:sz w:val="22"/>
                <w:szCs w:val="22"/>
              </w:rPr>
              <w:t xml:space="preserve"> outcomes, in the old format there are 4 and in the new course outline it is only 5.</w:t>
            </w:r>
          </w:p>
          <w:p w:rsidR="00120E8E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155654" w:rsidRDefault="00155654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iii. </w:t>
            </w:r>
            <w:r w:rsidR="0065759D">
              <w:rPr>
                <w:rFonts w:asciiTheme="minorHAnsi" w:eastAsia="Garamond" w:hAnsiTheme="minorHAnsi"/>
                <w:sz w:val="22"/>
                <w:szCs w:val="22"/>
              </w:rPr>
              <w:t xml:space="preserve">Yap representative wanted an explanation on the dates of the old course outline and the revised course outline. </w:t>
            </w:r>
          </w:p>
          <w:p w:rsidR="00120E8E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6E14DD" w:rsidRDefault="006E14DD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iv. </w:t>
            </w:r>
            <w:r w:rsidR="004D5D5D">
              <w:rPr>
                <w:rFonts w:asciiTheme="minorHAnsi" w:eastAsia="Garamond" w:hAnsiTheme="minorHAnsi"/>
                <w:sz w:val="22"/>
                <w:szCs w:val="22"/>
              </w:rPr>
              <w:t>DAP mentioned tha</w:t>
            </w:r>
            <w:r w:rsidR="002A6D9F">
              <w:rPr>
                <w:rFonts w:asciiTheme="minorHAnsi" w:eastAsia="Garamond" w:hAnsiTheme="minorHAnsi"/>
                <w:sz w:val="22"/>
                <w:szCs w:val="22"/>
              </w:rPr>
              <w:t>t reading IS260 was challenging. T</w:t>
            </w:r>
            <w:r w:rsidR="004D5D5D">
              <w:rPr>
                <w:rFonts w:asciiTheme="minorHAnsi" w:eastAsia="Garamond" w:hAnsiTheme="minorHAnsi"/>
                <w:sz w:val="22"/>
                <w:szCs w:val="22"/>
              </w:rPr>
              <w:t>he reader team</w:t>
            </w:r>
            <w:r w:rsidR="003E44C7">
              <w:rPr>
                <w:rFonts w:asciiTheme="minorHAnsi" w:eastAsia="Garamond" w:hAnsiTheme="minorHAnsi"/>
                <w:sz w:val="22"/>
                <w:szCs w:val="22"/>
              </w:rPr>
              <w:t>s</w:t>
            </w:r>
            <w:r w:rsidR="004D5D5D">
              <w:rPr>
                <w:rFonts w:asciiTheme="minorHAnsi" w:eastAsia="Garamond" w:hAnsiTheme="minorHAnsi"/>
                <w:sz w:val="22"/>
                <w:szCs w:val="22"/>
              </w:rPr>
              <w:t xml:space="preserve"> met t</w:t>
            </w:r>
            <w:r w:rsidR="002A6D9F">
              <w:rPr>
                <w:rFonts w:asciiTheme="minorHAnsi" w:eastAsia="Garamond" w:hAnsiTheme="minorHAnsi"/>
                <w:sz w:val="22"/>
                <w:szCs w:val="22"/>
              </w:rPr>
              <w:t>he initiator twice so as to align</w:t>
            </w:r>
            <w:r w:rsidR="004D5D5D">
              <w:rPr>
                <w:rFonts w:asciiTheme="minorHAnsi" w:eastAsia="Garamond" w:hAnsiTheme="minorHAnsi"/>
                <w:sz w:val="22"/>
                <w:szCs w:val="22"/>
              </w:rPr>
              <w:t xml:space="preserve"> the SLO’s to PLO’s, ISLO’s and assessment strategies.</w:t>
            </w:r>
          </w:p>
          <w:p w:rsidR="004D5D5D" w:rsidRDefault="004D5D5D" w:rsidP="004D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4D5D5D" w:rsidRDefault="004D5D5D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</w:t>
            </w:r>
          </w:p>
          <w:p w:rsidR="00120E8E" w:rsidRDefault="004D5D5D" w:rsidP="004D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lastRenderedPageBreak/>
              <w:t xml:space="preserve">             </w:t>
            </w:r>
            <w:r w:rsidR="00120E8E">
              <w:rPr>
                <w:rFonts w:asciiTheme="minorHAnsi" w:eastAsia="Garamond" w:hAnsiTheme="minorHAnsi"/>
                <w:sz w:val="22"/>
                <w:szCs w:val="22"/>
              </w:rPr>
              <w:t xml:space="preserve">v. 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Vice- Chair asked </w:t>
            </w:r>
            <w:r w:rsidR="002A6D9F">
              <w:rPr>
                <w:rFonts w:asciiTheme="minorHAnsi" w:eastAsia="Garamond" w:hAnsiTheme="minorHAnsi"/>
                <w:sz w:val="22"/>
                <w:szCs w:val="22"/>
              </w:rPr>
              <w:t>to close the discussion with IS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>260.</w:t>
            </w:r>
          </w:p>
          <w:p w:rsidR="00120E8E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6E14DD" w:rsidRDefault="006E14DD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</w:t>
            </w:r>
            <w:r w:rsidR="004D5D5D">
              <w:rPr>
                <w:rFonts w:asciiTheme="minorHAnsi" w:eastAsia="Garamond" w:hAnsiTheme="minorHAnsi"/>
                <w:sz w:val="22"/>
                <w:szCs w:val="22"/>
              </w:rPr>
              <w:t xml:space="preserve">vi. CC’s recommendation is to </w:t>
            </w:r>
            <w:r w:rsidR="00DE21D0">
              <w:rPr>
                <w:rFonts w:asciiTheme="minorHAnsi" w:eastAsia="Garamond" w:hAnsiTheme="minorHAnsi"/>
                <w:sz w:val="22"/>
                <w:szCs w:val="22"/>
              </w:rPr>
              <w:t>return the IS260 course outline to the initiator</w:t>
            </w:r>
            <w:r w:rsidR="004D5D5D">
              <w:rPr>
                <w:rFonts w:asciiTheme="minorHAnsi" w:eastAsia="Garamond" w:hAnsiTheme="minorHAnsi"/>
                <w:sz w:val="22"/>
                <w:szCs w:val="22"/>
              </w:rPr>
              <w:t xml:space="preserve">. </w:t>
            </w:r>
          </w:p>
          <w:p w:rsidR="00120E8E" w:rsidRDefault="00120E8E" w:rsidP="004D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6E14DD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20E8E">
              <w:rPr>
                <w:rFonts w:asciiTheme="minorHAnsi" w:eastAsia="Garamond" w:hAnsiTheme="minorHAnsi"/>
                <w:sz w:val="22"/>
                <w:szCs w:val="22"/>
              </w:rPr>
              <w:t xml:space="preserve">  </w:t>
            </w:r>
            <w:r w:rsidRPr="00120E8E">
              <w:rPr>
                <w:rFonts w:asciiTheme="minorHAnsi" w:eastAsia="Garamond" w:hAnsiTheme="minorHAnsi"/>
                <w:b/>
                <w:sz w:val="22"/>
                <w:szCs w:val="22"/>
              </w:rPr>
              <w:t>IS 2</w:t>
            </w:r>
            <w:r w:rsidR="004D5D5D">
              <w:rPr>
                <w:rFonts w:asciiTheme="minorHAnsi" w:eastAsia="Garamond" w:hAnsiTheme="minorHAnsi"/>
                <w:b/>
                <w:sz w:val="22"/>
                <w:szCs w:val="22"/>
              </w:rPr>
              <w:t>8</w:t>
            </w:r>
            <w:r w:rsidRPr="00120E8E">
              <w:rPr>
                <w:rFonts w:asciiTheme="minorHAnsi" w:eastAsia="Garamond" w:hAnsiTheme="minorHAnsi"/>
                <w:b/>
                <w:sz w:val="22"/>
                <w:szCs w:val="22"/>
              </w:rPr>
              <w:t xml:space="preserve">0 </w:t>
            </w:r>
            <w:r w:rsidRPr="00120E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4D5D5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Introduction to Networking </w:t>
            </w:r>
          </w:p>
          <w:p w:rsidR="003E44C7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 </w:t>
            </w:r>
            <w:r w:rsidR="00C25B5A">
              <w:rPr>
                <w:rFonts w:asciiTheme="minorHAnsi" w:eastAsia="Garamond" w:hAnsiTheme="minorHAnsi"/>
                <w:sz w:val="22"/>
                <w:szCs w:val="22"/>
              </w:rPr>
              <w:t xml:space="preserve">i. </w:t>
            </w:r>
            <w:r w:rsidR="002A6D9F">
              <w:rPr>
                <w:rFonts w:asciiTheme="minorHAnsi" w:eastAsia="Garamond" w:hAnsiTheme="minorHAnsi"/>
                <w:sz w:val="22"/>
                <w:szCs w:val="22"/>
              </w:rPr>
              <w:t>Lyn mentioned that she sent</w:t>
            </w:r>
            <w:r w:rsidR="004D5D5D">
              <w:rPr>
                <w:rFonts w:asciiTheme="minorHAnsi" w:eastAsia="Garamond" w:hAnsiTheme="minorHAnsi"/>
                <w:sz w:val="22"/>
                <w:szCs w:val="22"/>
              </w:rPr>
              <w:t xml:space="preserve"> her </w:t>
            </w:r>
            <w:r w:rsidR="002A6D9F">
              <w:rPr>
                <w:rFonts w:asciiTheme="minorHAnsi" w:eastAsia="Garamond" w:hAnsiTheme="minorHAnsi"/>
                <w:sz w:val="22"/>
                <w:szCs w:val="22"/>
              </w:rPr>
              <w:t>comments to the initiator</w:t>
            </w:r>
            <w:r w:rsidR="004D5D5D">
              <w:rPr>
                <w:rFonts w:asciiTheme="minorHAnsi" w:eastAsia="Garamond" w:hAnsiTheme="minorHAnsi"/>
                <w:sz w:val="22"/>
                <w:szCs w:val="22"/>
              </w:rPr>
              <w:t>, and the initiator</w:t>
            </w:r>
            <w:r w:rsidR="002A6D9F">
              <w:rPr>
                <w:rFonts w:asciiTheme="minorHAnsi" w:eastAsia="Garamond" w:hAnsiTheme="minorHAnsi"/>
                <w:sz w:val="22"/>
                <w:szCs w:val="22"/>
              </w:rPr>
              <w:t xml:space="preserve"> wanted to finish IS</w:t>
            </w:r>
            <w:r w:rsidR="003E44C7">
              <w:rPr>
                <w:rFonts w:asciiTheme="minorHAnsi" w:eastAsia="Garamond" w:hAnsiTheme="minorHAnsi"/>
                <w:sz w:val="22"/>
                <w:szCs w:val="22"/>
              </w:rPr>
              <w:t>260</w:t>
            </w:r>
            <w:r w:rsidR="002A6D9F">
              <w:rPr>
                <w:rFonts w:asciiTheme="minorHAnsi" w:eastAsia="Garamond" w:hAnsiTheme="minorHAnsi"/>
                <w:sz w:val="22"/>
                <w:szCs w:val="22"/>
              </w:rPr>
              <w:t xml:space="preserve"> first</w:t>
            </w:r>
            <w:r w:rsidR="003E44C7">
              <w:rPr>
                <w:rFonts w:asciiTheme="minorHAnsi" w:eastAsia="Garamond" w:hAnsiTheme="minorHAnsi"/>
                <w:sz w:val="22"/>
                <w:szCs w:val="22"/>
              </w:rPr>
              <w:t>.</w:t>
            </w:r>
          </w:p>
          <w:p w:rsidR="003E44C7" w:rsidRDefault="003E44C7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4D5D5D" w:rsidRDefault="003E44C7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Pr="003E44C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SS 111 Cultural Anthropology </w:t>
            </w:r>
            <w:r w:rsidRPr="003E44C7">
              <w:rPr>
                <w:rFonts w:asciiTheme="minorHAnsi" w:eastAsia="Garamond" w:hAnsiTheme="minorHAnsi"/>
                <w:b/>
                <w:sz w:val="22"/>
                <w:szCs w:val="22"/>
              </w:rPr>
              <w:t xml:space="preserve"> </w:t>
            </w:r>
          </w:p>
          <w:p w:rsidR="003E44C7" w:rsidRDefault="003E44C7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b/>
                <w:sz w:val="22"/>
                <w:szCs w:val="22"/>
              </w:rPr>
              <w:t xml:space="preserve">             </w:t>
            </w:r>
            <w:r w:rsidRPr="003E44C7">
              <w:rPr>
                <w:rFonts w:asciiTheme="minorHAnsi" w:eastAsia="Garamond" w:hAnsiTheme="minorHAnsi"/>
                <w:sz w:val="22"/>
                <w:szCs w:val="22"/>
              </w:rPr>
              <w:t xml:space="preserve">i. </w:t>
            </w:r>
            <w:proofErr w:type="spellStart"/>
            <w:r>
              <w:rPr>
                <w:rFonts w:asciiTheme="minorHAnsi" w:eastAsia="Garamond" w:hAnsiTheme="minorHAnsi"/>
                <w:sz w:val="22"/>
                <w:szCs w:val="22"/>
              </w:rPr>
              <w:t>Chuuk</w:t>
            </w:r>
            <w:proofErr w:type="spellEnd"/>
            <w:r w:rsidR="00A75BB7">
              <w:rPr>
                <w:rFonts w:asciiTheme="minorHAnsi" w:eastAsia="Garamond" w:hAnsiTheme="minorHAnsi"/>
                <w:sz w:val="22"/>
                <w:szCs w:val="22"/>
              </w:rPr>
              <w:t xml:space="preserve"> representative commented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regarding the constructi</w:t>
            </w:r>
            <w:r w:rsidR="002A6D9F">
              <w:rPr>
                <w:rFonts w:asciiTheme="minorHAnsi" w:eastAsia="Garamond" w:hAnsiTheme="minorHAnsi"/>
                <w:sz w:val="22"/>
                <w:szCs w:val="22"/>
              </w:rPr>
              <w:t>on of each assessment strategy,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if it is needed to duplicate the student learning outcome (ex SLO 1.1 and 1.2). He also emphasized being consistent in those criteria set by CC before endorsing </w:t>
            </w:r>
            <w:r w:rsidR="00A75BB7">
              <w:rPr>
                <w:rFonts w:asciiTheme="minorHAnsi" w:eastAsia="Garamond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>course outli</w:t>
            </w:r>
            <w:r w:rsidR="00A75BB7">
              <w:rPr>
                <w:rFonts w:asciiTheme="minorHAnsi" w:eastAsia="Garamond" w:hAnsiTheme="minorHAnsi"/>
                <w:sz w:val="22"/>
                <w:szCs w:val="22"/>
              </w:rPr>
              <w:t>ne</w:t>
            </w:r>
            <w:r w:rsidR="00A75BB7" w:rsidRPr="00667DD0">
              <w:rPr>
                <w:rFonts w:asciiTheme="minorHAnsi" w:eastAsia="Garamond" w:hAnsiTheme="minorHAnsi"/>
                <w:sz w:val="22"/>
                <w:szCs w:val="22"/>
              </w:rPr>
              <w:t>:</w:t>
            </w:r>
            <w:r w:rsidR="00693652" w:rsidRPr="00667DD0">
              <w:rPr>
                <w:rFonts w:asciiTheme="minorHAnsi" w:eastAsia="Garamond" w:hAnsiTheme="minorHAnsi"/>
                <w:sz w:val="22"/>
                <w:szCs w:val="22"/>
              </w:rPr>
              <w:t xml:space="preserve"> No SLO to assess and </w:t>
            </w:r>
            <w:r w:rsidR="00667DD0" w:rsidRPr="00667DD0">
              <w:rPr>
                <w:rFonts w:asciiTheme="minorHAnsi" w:eastAsia="Garamond" w:hAnsiTheme="minorHAnsi"/>
                <w:sz w:val="22"/>
                <w:szCs w:val="22"/>
              </w:rPr>
              <w:t xml:space="preserve">need </w:t>
            </w:r>
            <w:r w:rsidR="00693652" w:rsidRPr="00667DD0">
              <w:rPr>
                <w:rFonts w:asciiTheme="minorHAnsi" w:eastAsia="Garamond" w:hAnsiTheme="minorHAnsi"/>
                <w:sz w:val="22"/>
                <w:szCs w:val="22"/>
              </w:rPr>
              <w:t>c</w:t>
            </w:r>
            <w:r w:rsidR="00A75BB7" w:rsidRPr="00667DD0">
              <w:rPr>
                <w:rFonts w:asciiTheme="minorHAnsi" w:eastAsia="Garamond" w:hAnsiTheme="minorHAnsi"/>
                <w:sz w:val="22"/>
                <w:szCs w:val="22"/>
              </w:rPr>
              <w:t xml:space="preserve">larification in the evaluation </w:t>
            </w:r>
            <w:r w:rsidR="00667DD0" w:rsidRPr="00667DD0">
              <w:rPr>
                <w:rFonts w:asciiTheme="minorHAnsi" w:eastAsia="Garamond" w:hAnsiTheme="minorHAnsi"/>
                <w:sz w:val="22"/>
                <w:szCs w:val="22"/>
              </w:rPr>
              <w:t>(</w:t>
            </w:r>
            <w:r w:rsidR="00693652" w:rsidRPr="00667DD0">
              <w:rPr>
                <w:rFonts w:asciiTheme="minorHAnsi" w:eastAsia="Garamond" w:hAnsiTheme="minorHAnsi"/>
                <w:sz w:val="22"/>
                <w:szCs w:val="22"/>
              </w:rPr>
              <w:t>ex. summative test and passing grade</w:t>
            </w:r>
            <w:r w:rsidR="00667DD0" w:rsidRPr="00667DD0">
              <w:rPr>
                <w:rFonts w:asciiTheme="minorHAnsi" w:eastAsia="Garamond" w:hAnsiTheme="minorHAnsi"/>
                <w:sz w:val="22"/>
                <w:szCs w:val="22"/>
              </w:rPr>
              <w:t>)</w:t>
            </w:r>
            <w:r w:rsidR="00693652" w:rsidRPr="00667DD0">
              <w:rPr>
                <w:rFonts w:asciiTheme="minorHAnsi" w:eastAsia="Garamond" w:hAnsiTheme="minorHAnsi"/>
                <w:sz w:val="22"/>
                <w:szCs w:val="22"/>
              </w:rPr>
              <w:t>.</w:t>
            </w:r>
          </w:p>
          <w:p w:rsidR="003E44C7" w:rsidRDefault="003E44C7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ii. Vice-Chair shares his observation and thoughts as being a member of the CC.</w:t>
            </w:r>
          </w:p>
          <w:p w:rsidR="00A14AC7" w:rsidRDefault="00A14AC7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iii. Business administration representative said that </w:t>
            </w:r>
            <w:r w:rsidR="00A75BB7">
              <w:rPr>
                <w:rFonts w:asciiTheme="minorHAnsi" w:eastAsia="Garamond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>checkl</w:t>
            </w:r>
            <w:r w:rsidR="00A75BB7">
              <w:rPr>
                <w:rFonts w:asciiTheme="minorHAnsi" w:eastAsia="Garamond" w:hAnsiTheme="minorHAnsi"/>
                <w:sz w:val="22"/>
                <w:szCs w:val="22"/>
              </w:rPr>
              <w:t>ist should be properly filled out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by the reader teams.</w:t>
            </w:r>
          </w:p>
          <w:p w:rsidR="00693652" w:rsidRDefault="00693652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iv. </w:t>
            </w:r>
            <w:proofErr w:type="spellStart"/>
            <w:r>
              <w:rPr>
                <w:rFonts w:asciiTheme="minorHAnsi" w:eastAsia="Garamond" w:hAnsiTheme="minorHAnsi"/>
                <w:sz w:val="22"/>
                <w:szCs w:val="22"/>
              </w:rPr>
              <w:t>Chuuk</w:t>
            </w:r>
            <w:proofErr w:type="spellEnd"/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representative suggestion “not necessarily to repeat what’s in the SLO as long as it is aligned</w:t>
            </w:r>
            <w:r w:rsidR="00A75BB7">
              <w:rPr>
                <w:rFonts w:asciiTheme="minorHAnsi" w:eastAsia="Garamond" w:hAnsiTheme="minorHAnsi"/>
                <w:sz w:val="22"/>
                <w:szCs w:val="22"/>
              </w:rPr>
              <w:t>.”</w:t>
            </w:r>
          </w:p>
          <w:p w:rsidR="00A14AC7" w:rsidRDefault="00A14AC7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</w:t>
            </w:r>
            <w:r w:rsidR="00693652">
              <w:rPr>
                <w:rFonts w:asciiTheme="minorHAnsi" w:eastAsia="Garamond" w:hAnsiTheme="minorHAnsi"/>
                <w:sz w:val="22"/>
                <w:szCs w:val="22"/>
              </w:rPr>
              <w:t>v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>. Educati</w:t>
            </w:r>
            <w:r w:rsidR="00A75BB7">
              <w:rPr>
                <w:rFonts w:asciiTheme="minorHAnsi" w:eastAsia="Garamond" w:hAnsiTheme="minorHAnsi"/>
                <w:sz w:val="22"/>
                <w:szCs w:val="22"/>
              </w:rPr>
              <w:t>on program representative stated the need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to have proper communication with the author. </w:t>
            </w:r>
          </w:p>
          <w:p w:rsidR="003E44C7" w:rsidRPr="003E44C7" w:rsidRDefault="003E44C7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</w:t>
            </w:r>
            <w:r w:rsidR="00693652">
              <w:rPr>
                <w:rFonts w:asciiTheme="minorHAnsi" w:eastAsia="Garamond" w:hAnsiTheme="minorHAnsi"/>
                <w:sz w:val="22"/>
                <w:szCs w:val="22"/>
              </w:rPr>
              <w:t xml:space="preserve">  </w:t>
            </w:r>
            <w:r w:rsidR="00667DD0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="00A75BB7">
              <w:rPr>
                <w:rFonts w:asciiTheme="minorHAnsi" w:eastAsia="Garamond" w:hAnsiTheme="minorHAnsi"/>
                <w:sz w:val="22"/>
                <w:szCs w:val="22"/>
              </w:rPr>
              <w:t xml:space="preserve">vi. More discussion on </w:t>
            </w:r>
            <w:r w:rsidR="00693652">
              <w:rPr>
                <w:rFonts w:asciiTheme="minorHAnsi" w:eastAsia="Garamond" w:hAnsiTheme="minorHAnsi"/>
                <w:sz w:val="22"/>
                <w:szCs w:val="22"/>
              </w:rPr>
              <w:t>SS111.</w:t>
            </w:r>
          </w:p>
          <w:p w:rsidR="007C4567" w:rsidRDefault="007C4567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</w:t>
            </w:r>
          </w:p>
          <w:p w:rsidR="0028331C" w:rsidRPr="00A73E2D" w:rsidRDefault="00C25B5A" w:rsidP="00DF5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4. </w:t>
            </w:r>
            <w:r w:rsidR="0028331C" w:rsidRPr="00A73E2D">
              <w:rPr>
                <w:rFonts w:asciiTheme="minorHAnsi" w:hAnsiTheme="minorHAnsi"/>
                <w:b/>
              </w:rPr>
              <w:t>Adjournment</w:t>
            </w:r>
          </w:p>
          <w:p w:rsidR="0028331C" w:rsidRPr="00A73E2D" w:rsidRDefault="0028331C" w:rsidP="007461C6">
            <w:pPr>
              <w:pStyle w:val="ColorfulList-Accent11"/>
              <w:spacing w:line="240" w:lineRule="auto"/>
              <w:ind w:left="782"/>
              <w:jc w:val="left"/>
              <w:rPr>
                <w:rFonts w:asciiTheme="minorHAnsi" w:hAnsiTheme="minorHAnsi"/>
              </w:rPr>
            </w:pPr>
            <w:r w:rsidRPr="00A73E2D">
              <w:rPr>
                <w:rFonts w:asciiTheme="minorHAnsi" w:hAnsiTheme="minorHAnsi"/>
              </w:rPr>
              <w:t xml:space="preserve">The meeting was adjourned at 2:00PM  </w:t>
            </w:r>
          </w:p>
          <w:p w:rsidR="0028331C" w:rsidRPr="00A66922" w:rsidRDefault="0028331C" w:rsidP="00A73E2D">
            <w:pPr>
              <w:rPr>
                <w:rFonts w:asciiTheme="minorHAnsi" w:hAnsiTheme="minorHAnsi"/>
                <w:b/>
              </w:rPr>
            </w:pPr>
          </w:p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pStyle w:val="LightGrid-Accent31"/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28331C" w:rsidRPr="00A66922" w:rsidRDefault="0028331C" w:rsidP="0028331C">
      <w:pPr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3087"/>
        <w:gridCol w:w="122"/>
        <w:gridCol w:w="1987"/>
        <w:gridCol w:w="42"/>
        <w:gridCol w:w="2018"/>
        <w:gridCol w:w="350"/>
        <w:gridCol w:w="3143"/>
      </w:tblGrid>
      <w:tr w:rsidR="0028331C" w:rsidRPr="00A66922" w:rsidTr="007461C6">
        <w:trPr>
          <w:trHeight w:val="503"/>
        </w:trPr>
        <w:tc>
          <w:tcPr>
            <w:tcW w:w="10773" w:type="dxa"/>
            <w:gridSpan w:val="8"/>
          </w:tcPr>
          <w:p w:rsidR="0028331C" w:rsidRPr="00A66922" w:rsidRDefault="0028331C" w:rsidP="007461C6"/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28331C" w:rsidRPr="00A66922" w:rsidTr="007461C6">
              <w:tc>
                <w:tcPr>
                  <w:tcW w:w="10773" w:type="dxa"/>
                </w:tcPr>
                <w:p w:rsidR="0028331C" w:rsidRPr="00A66922" w:rsidRDefault="0028331C" w:rsidP="007461C6">
                  <w:pPr>
                    <w:rPr>
                      <w:b/>
                    </w:rPr>
                  </w:pPr>
                  <w:r w:rsidRPr="00A66922">
                    <w:rPr>
                      <w:b/>
                    </w:rPr>
                    <w:t>Handouts/Documents Referenced:</w:t>
                  </w:r>
                </w:p>
              </w:tc>
            </w:tr>
          </w:tbl>
          <w:p w:rsidR="0028331C" w:rsidRPr="00A66922" w:rsidRDefault="0028331C" w:rsidP="007461C6">
            <w:pPr>
              <w:pStyle w:val="LightList-Accent51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667DD0"/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/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College Web Site Link: </w:t>
            </w:r>
          </w:p>
        </w:tc>
      </w:tr>
      <w:tr w:rsidR="0028331C" w:rsidRPr="00A66922" w:rsidTr="007461C6">
        <w:trPr>
          <w:trHeight w:val="416"/>
        </w:trPr>
        <w:tc>
          <w:tcPr>
            <w:tcW w:w="3111" w:type="dxa"/>
            <w:gridSpan w:val="2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Prepared by:</w:t>
            </w:r>
          </w:p>
        </w:tc>
        <w:tc>
          <w:tcPr>
            <w:tcW w:w="2109" w:type="dxa"/>
            <w:gridSpan w:val="2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 xml:space="preserve">Sharon Oviedo </w:t>
            </w:r>
          </w:p>
        </w:tc>
        <w:tc>
          <w:tcPr>
            <w:tcW w:w="2410" w:type="dxa"/>
            <w:gridSpan w:val="3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Date Distributed: </w:t>
            </w:r>
          </w:p>
        </w:tc>
        <w:tc>
          <w:tcPr>
            <w:tcW w:w="3143" w:type="dxa"/>
          </w:tcPr>
          <w:p w:rsidR="0028331C" w:rsidRPr="00A66922" w:rsidRDefault="00667DD0" w:rsidP="00EF7025">
            <w:pPr>
              <w:rPr>
                <w:i/>
              </w:rPr>
            </w:pPr>
            <w:r>
              <w:rPr>
                <w:i/>
              </w:rPr>
              <w:t>May 1</w:t>
            </w:r>
            <w:r w:rsidR="00984A89">
              <w:rPr>
                <w:i/>
              </w:rPr>
              <w:t>, 2019</w:t>
            </w:r>
          </w:p>
        </w:tc>
      </w:tr>
      <w:tr w:rsidR="0028331C" w:rsidRPr="00A66922" w:rsidTr="007461C6">
        <w:trPr>
          <w:trHeight w:val="445"/>
        </w:trPr>
        <w:tc>
          <w:tcPr>
            <w:tcW w:w="10773" w:type="dxa"/>
            <w:gridSpan w:val="8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Approval of Minutes Process &amp; Responses: </w:t>
            </w: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984A89">
            <w:pPr>
              <w:numPr>
                <w:ilvl w:val="0"/>
                <w:numId w:val="1"/>
              </w:numPr>
            </w:pPr>
            <w:r w:rsidRPr="00A66922">
              <w:t xml:space="preserve">Electronic votes:  </w:t>
            </w:r>
          </w:p>
        </w:tc>
      </w:tr>
      <w:tr w:rsidR="0028331C" w:rsidRPr="00A66922" w:rsidTr="007461C6">
        <w:tblPrEx>
          <w:tblLook w:val="04A0" w:firstRow="1" w:lastRow="0" w:firstColumn="1" w:lastColumn="0" w:noHBand="0" w:noVBand="1"/>
        </w:tblPrEx>
        <w:tc>
          <w:tcPr>
            <w:tcW w:w="3233" w:type="dxa"/>
            <w:gridSpan w:val="3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Submitted by: </w:t>
            </w:r>
          </w:p>
        </w:tc>
        <w:tc>
          <w:tcPr>
            <w:tcW w:w="2029" w:type="dxa"/>
            <w:gridSpan w:val="2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>Sharon Oviedo</w:t>
            </w:r>
          </w:p>
        </w:tc>
        <w:tc>
          <w:tcPr>
            <w:tcW w:w="2018" w:type="dxa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Date Submitted:</w:t>
            </w:r>
          </w:p>
        </w:tc>
        <w:tc>
          <w:tcPr>
            <w:tcW w:w="3493" w:type="dxa"/>
            <w:gridSpan w:val="2"/>
          </w:tcPr>
          <w:p w:rsidR="0028331C" w:rsidRPr="00A66922" w:rsidRDefault="00667DD0" w:rsidP="00EF7025">
            <w:pPr>
              <w:rPr>
                <w:b/>
                <w:i/>
              </w:rPr>
            </w:pPr>
            <w:r>
              <w:rPr>
                <w:i/>
              </w:rPr>
              <w:t>May 1</w:t>
            </w:r>
            <w:r w:rsidR="00ED7E21">
              <w:rPr>
                <w:i/>
              </w:rPr>
              <w:t>, 2019</w:t>
            </w:r>
          </w:p>
        </w:tc>
      </w:tr>
      <w:tr w:rsidR="0028331C" w:rsidRPr="00A66922" w:rsidTr="007461C6">
        <w:tblPrEx>
          <w:tblLook w:val="0000" w:firstRow="0" w:lastRow="0" w:firstColumn="0" w:lastColumn="0" w:noHBand="0" w:noVBand="0"/>
        </w:tblPrEx>
        <w:trPr>
          <w:gridBefore w:val="1"/>
          <w:wBefore w:w="24" w:type="dxa"/>
          <w:trHeight w:val="173"/>
        </w:trPr>
        <w:tc>
          <w:tcPr>
            <w:tcW w:w="10749" w:type="dxa"/>
            <w:gridSpan w:val="7"/>
          </w:tcPr>
          <w:p w:rsidR="0028331C" w:rsidRPr="00A66922" w:rsidRDefault="0028331C" w:rsidP="007461C6">
            <w:p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  <w:rPr>
                <w:b/>
              </w:rPr>
            </w:pPr>
            <w:r w:rsidRPr="00A66922">
              <w:rPr>
                <w:b/>
              </w:rPr>
              <w:t>Summary Decisions/Recommendations/Action Steps/Motions with Timeline &amp; Responsibilities:</w:t>
            </w:r>
          </w:p>
          <w:p w:rsidR="00A73E2D" w:rsidRDefault="00984A89" w:rsidP="00DE21D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84A89">
              <w:rPr>
                <w:rFonts w:asciiTheme="minorHAnsi" w:hAnsiTheme="minorHAnsi"/>
                <w:sz w:val="22"/>
                <w:szCs w:val="22"/>
              </w:rPr>
              <w:t>M</w:t>
            </w:r>
            <w:r w:rsidR="00A75BB7">
              <w:rPr>
                <w:rFonts w:asciiTheme="minorHAnsi" w:hAnsiTheme="minorHAnsi"/>
                <w:sz w:val="22"/>
                <w:szCs w:val="22"/>
              </w:rPr>
              <w:t xml:space="preserve">ore discussion with </w:t>
            </w:r>
            <w:r w:rsidR="00800001">
              <w:rPr>
                <w:rFonts w:asciiTheme="minorHAnsi" w:hAnsiTheme="minorHAnsi"/>
                <w:sz w:val="22"/>
                <w:szCs w:val="22"/>
              </w:rPr>
              <w:t>SS111</w:t>
            </w:r>
          </w:p>
          <w:p w:rsidR="00DE21D0" w:rsidRDefault="00DE21D0" w:rsidP="00DE21D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Return IS260 to the initiator</w:t>
            </w:r>
          </w:p>
          <w:p w:rsidR="00DF70CB" w:rsidRPr="00984A89" w:rsidRDefault="00DF70CB" w:rsidP="00DE21D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CC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Chairman to send the self-reflection form to CC members before May 6, 2019</w:t>
            </w:r>
            <w:bookmarkStart w:id="0" w:name="_GoBack"/>
            <w:bookmarkEnd w:id="0"/>
          </w:p>
        </w:tc>
      </w:tr>
    </w:tbl>
    <w:p w:rsidR="0028331C" w:rsidRPr="00A66922" w:rsidRDefault="0028331C" w:rsidP="0028331C">
      <w:pPr>
        <w:ind w:right="-846" w:firstLine="720"/>
      </w:pPr>
    </w:p>
    <w:p w:rsidR="009056E9" w:rsidRDefault="009056E9"/>
    <w:sectPr w:rsidR="009056E9" w:rsidSect="0028331C">
      <w:footerReference w:type="default" r:id="rId9"/>
      <w:pgSz w:w="12240" w:h="15840"/>
      <w:pgMar w:top="540" w:right="1440" w:bottom="540" w:left="1440" w:header="720" w:footer="375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E7" w:rsidRDefault="002B09E7">
      <w:r>
        <w:separator/>
      </w:r>
    </w:p>
  </w:endnote>
  <w:endnote w:type="continuationSeparator" w:id="0">
    <w:p w:rsidR="002B09E7" w:rsidRDefault="002B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F1" w:rsidRDefault="00DC18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0CB">
      <w:rPr>
        <w:noProof/>
      </w:rPr>
      <w:t>1</w:t>
    </w:r>
    <w:r>
      <w:rPr>
        <w:noProof/>
      </w:rPr>
      <w:fldChar w:fldCharType="end"/>
    </w:r>
  </w:p>
  <w:p w:rsidR="004261F1" w:rsidRPr="006C7F6B" w:rsidRDefault="002B09E7" w:rsidP="002B5099">
    <w:pPr>
      <w:pStyle w:val="Footer"/>
      <w:tabs>
        <w:tab w:val="clear" w:pos="4320"/>
        <w:tab w:val="clear" w:pos="8640"/>
        <w:tab w:val="left" w:pos="4035"/>
        <w:tab w:val="center" w:pos="4680"/>
        <w:tab w:val="right" w:pos="9360"/>
      </w:tabs>
      <w:ind w:left="-36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E7" w:rsidRDefault="002B09E7">
      <w:r>
        <w:separator/>
      </w:r>
    </w:p>
  </w:footnote>
  <w:footnote w:type="continuationSeparator" w:id="0">
    <w:p w:rsidR="002B09E7" w:rsidRDefault="002B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4D"/>
    <w:multiLevelType w:val="hybridMultilevel"/>
    <w:tmpl w:val="892E3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534CAB"/>
    <w:multiLevelType w:val="multilevel"/>
    <w:tmpl w:val="E5928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241C"/>
    <w:multiLevelType w:val="hybridMultilevel"/>
    <w:tmpl w:val="E55CC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E5946"/>
    <w:multiLevelType w:val="hybridMultilevel"/>
    <w:tmpl w:val="1856F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D61CA"/>
    <w:multiLevelType w:val="hybridMultilevel"/>
    <w:tmpl w:val="809C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7C0042"/>
    <w:multiLevelType w:val="hybridMultilevel"/>
    <w:tmpl w:val="A1AE35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736F74"/>
    <w:multiLevelType w:val="hybridMultilevel"/>
    <w:tmpl w:val="CA88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16FCF"/>
    <w:multiLevelType w:val="hybridMultilevel"/>
    <w:tmpl w:val="8FDC7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25CBE"/>
    <w:multiLevelType w:val="hybridMultilevel"/>
    <w:tmpl w:val="611E1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B2578"/>
    <w:multiLevelType w:val="hybridMultilevel"/>
    <w:tmpl w:val="CA88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C"/>
    <w:rsid w:val="00013096"/>
    <w:rsid w:val="00062D47"/>
    <w:rsid w:val="00064F1F"/>
    <w:rsid w:val="00090541"/>
    <w:rsid w:val="000A3D81"/>
    <w:rsid w:val="00120E8E"/>
    <w:rsid w:val="00152D1B"/>
    <w:rsid w:val="00155654"/>
    <w:rsid w:val="00162C3E"/>
    <w:rsid w:val="0017156E"/>
    <w:rsid w:val="001C26D9"/>
    <w:rsid w:val="001E56DF"/>
    <w:rsid w:val="00227B1D"/>
    <w:rsid w:val="002542BC"/>
    <w:rsid w:val="00260EE1"/>
    <w:rsid w:val="002659D4"/>
    <w:rsid w:val="00271DA7"/>
    <w:rsid w:val="0028331C"/>
    <w:rsid w:val="002A2139"/>
    <w:rsid w:val="002A6BA8"/>
    <w:rsid w:val="002A6D9F"/>
    <w:rsid w:val="002B09E7"/>
    <w:rsid w:val="002F6382"/>
    <w:rsid w:val="002F7573"/>
    <w:rsid w:val="003039BB"/>
    <w:rsid w:val="00317AB5"/>
    <w:rsid w:val="0032595C"/>
    <w:rsid w:val="003D5440"/>
    <w:rsid w:val="003E44C7"/>
    <w:rsid w:val="003F63C3"/>
    <w:rsid w:val="00401F02"/>
    <w:rsid w:val="004371AC"/>
    <w:rsid w:val="004603CB"/>
    <w:rsid w:val="004A1F68"/>
    <w:rsid w:val="004C4F38"/>
    <w:rsid w:val="004D4E6D"/>
    <w:rsid w:val="004D5D5D"/>
    <w:rsid w:val="005719CF"/>
    <w:rsid w:val="005A1B44"/>
    <w:rsid w:val="005E1C84"/>
    <w:rsid w:val="0065759D"/>
    <w:rsid w:val="00667DD0"/>
    <w:rsid w:val="0068139B"/>
    <w:rsid w:val="00693652"/>
    <w:rsid w:val="006E14DD"/>
    <w:rsid w:val="006F309C"/>
    <w:rsid w:val="00713E08"/>
    <w:rsid w:val="00745F99"/>
    <w:rsid w:val="0075351F"/>
    <w:rsid w:val="007C1882"/>
    <w:rsid w:val="007C4567"/>
    <w:rsid w:val="007D0318"/>
    <w:rsid w:val="00800001"/>
    <w:rsid w:val="00804252"/>
    <w:rsid w:val="00804EC6"/>
    <w:rsid w:val="00833AA2"/>
    <w:rsid w:val="00874C52"/>
    <w:rsid w:val="008A5D69"/>
    <w:rsid w:val="00904C4E"/>
    <w:rsid w:val="009056E9"/>
    <w:rsid w:val="009128FA"/>
    <w:rsid w:val="00920FB7"/>
    <w:rsid w:val="00934C9A"/>
    <w:rsid w:val="00934E9A"/>
    <w:rsid w:val="00942162"/>
    <w:rsid w:val="00984A89"/>
    <w:rsid w:val="009E0F1A"/>
    <w:rsid w:val="009E5F3B"/>
    <w:rsid w:val="00A14361"/>
    <w:rsid w:val="00A14AC7"/>
    <w:rsid w:val="00A4554D"/>
    <w:rsid w:val="00A52EE7"/>
    <w:rsid w:val="00A5406B"/>
    <w:rsid w:val="00A54FAF"/>
    <w:rsid w:val="00A73E2D"/>
    <w:rsid w:val="00A75BB7"/>
    <w:rsid w:val="00A761CB"/>
    <w:rsid w:val="00AB3DA8"/>
    <w:rsid w:val="00AD3086"/>
    <w:rsid w:val="00AE4F43"/>
    <w:rsid w:val="00B002F9"/>
    <w:rsid w:val="00B07BB5"/>
    <w:rsid w:val="00B139D4"/>
    <w:rsid w:val="00B37679"/>
    <w:rsid w:val="00B3782A"/>
    <w:rsid w:val="00B50E22"/>
    <w:rsid w:val="00B550A2"/>
    <w:rsid w:val="00B906B9"/>
    <w:rsid w:val="00BB14ED"/>
    <w:rsid w:val="00BE6CEC"/>
    <w:rsid w:val="00C07294"/>
    <w:rsid w:val="00C25B5A"/>
    <w:rsid w:val="00C4447C"/>
    <w:rsid w:val="00C64AF6"/>
    <w:rsid w:val="00CC1B24"/>
    <w:rsid w:val="00CC603B"/>
    <w:rsid w:val="00CD1D4E"/>
    <w:rsid w:val="00D73AC9"/>
    <w:rsid w:val="00D747B8"/>
    <w:rsid w:val="00D945AE"/>
    <w:rsid w:val="00D95156"/>
    <w:rsid w:val="00D95CDD"/>
    <w:rsid w:val="00DC18AA"/>
    <w:rsid w:val="00DD7B2A"/>
    <w:rsid w:val="00DE21D0"/>
    <w:rsid w:val="00DF5EF3"/>
    <w:rsid w:val="00DF70CB"/>
    <w:rsid w:val="00E35898"/>
    <w:rsid w:val="00E477F6"/>
    <w:rsid w:val="00E56249"/>
    <w:rsid w:val="00E60EED"/>
    <w:rsid w:val="00ED2E55"/>
    <w:rsid w:val="00ED7E21"/>
    <w:rsid w:val="00EF7025"/>
    <w:rsid w:val="00F43693"/>
    <w:rsid w:val="00F6636A"/>
    <w:rsid w:val="00F820AE"/>
    <w:rsid w:val="00FB56B2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31C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331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67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31C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331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6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5EAA-7AA7-4F23-9C0F-8CBE1432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5</cp:revision>
  <cp:lastPrinted>2019-02-27T04:30:00Z</cp:lastPrinted>
  <dcterms:created xsi:type="dcterms:W3CDTF">2019-04-30T05:53:00Z</dcterms:created>
  <dcterms:modified xsi:type="dcterms:W3CDTF">2019-05-10T08:07:00Z</dcterms:modified>
</cp:coreProperties>
</file>